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95" w:beforeAutospacing="0" w:after="0" w:afterAutospacing="0"/>
        <w:ind w:left="0" w:right="0"/>
        <w:jc w:val="center"/>
        <w:rPr>
          <w:color w:val="0066CC"/>
          <w:sz w:val="36"/>
          <w:szCs w:val="36"/>
        </w:rPr>
      </w:pPr>
      <w:bookmarkStart w:id="0" w:name="_GoBack"/>
      <w:r>
        <w:rPr>
          <w:rFonts w:ascii="微软雅黑" w:hAnsi="微软雅黑" w:eastAsia="微软雅黑" w:cs="微软雅黑"/>
          <w:i w:val="0"/>
          <w:caps w:val="0"/>
          <w:color w:val="0066CC"/>
          <w:spacing w:val="0"/>
          <w:sz w:val="36"/>
          <w:szCs w:val="36"/>
          <w:bdr w:val="none" w:color="auto" w:sz="0" w:space="0"/>
        </w:rPr>
        <w:t>财政部 税务总局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CC0000"/>
          <w:spacing w:val="0"/>
          <w:kern w:val="0"/>
          <w:sz w:val="42"/>
          <w:szCs w:val="42"/>
          <w:bdr w:val="none" w:color="auto" w:sz="0" w:space="0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CC0000"/>
          <w:spacing w:val="0"/>
          <w:kern w:val="0"/>
          <w:sz w:val="42"/>
          <w:szCs w:val="42"/>
          <w:bdr w:val="none" w:color="auto" w:sz="0" w:space="0"/>
          <w:lang w:val="en-US" w:eastAsia="zh-CN" w:bidi="ar"/>
        </w:rPr>
        <w:t>关于支持货物期货市场对外开放增值税政策的公告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CC0000"/>
          <w:spacing w:val="0"/>
          <w:kern w:val="0"/>
          <w:sz w:val="32"/>
          <w:szCs w:val="32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财政部 税务总局公告2020年第12号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666666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76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instrText xml:space="preserve"> HYPERLINK "http://www.chinatax.gov.cn/chinatax/n810341/n810755/c5144203/javascript:;" \o "分享到微信" </w:instrTex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  <w:u w:val="none"/>
          <w:bdr w:val="none" w:color="auto" w:sz="0" w:space="0"/>
        </w:rPr>
        <w:t>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instrText xml:space="preserve"> HYPERLINK "http://www.chinatax.gov.cn/chinatax/n810341/n810755/c5144203/javascript:;" \o "分享到新浪微博" </w:instrTex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  <w:u w:val="none"/>
          <w:bdr w:val="none" w:color="auto" w:sz="0" w:space="0"/>
        </w:rPr>
        <w:t>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instrText xml:space="preserve"> HYPERLINK "http://www.chinatax.gov.cn/chinatax/n810341/n810755/c5144203/javascript:;" \o "分享到QQ空间" </w:instrTex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fldChar w:fldCharType="separate"/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  <w:u w:val="none"/>
          <w:bdr w:val="none" w:color="auto" w:sz="0" w:space="0"/>
        </w:rPr>
        <w:t>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8"/>
          <w:szCs w:val="18"/>
          <w:u w:val="none"/>
          <w:bdr w:val="none" w:color="auto" w:sz="0" w:space="0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为支持货物期货市场对外开放，现将有关增值税政策公告如下：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自2018年11月30日至2023年11月29日，对经国务院批准对外开放的货物期货品种保税交割业务，暂免征收增值税。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上述期货交易中实际交割的货物，如果发生进口或者出口的，统一按照现行货物进出口税收政策执行。非保税货物发生的期货实物交割仍按《国家税务总局关于下发＜货物期货征收增值税具体办法＞的通知》（国税发〔1994〕244号）的规定执行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特此公告。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both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right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财政部 税务总局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right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  <w:bdr w:val="none" w:color="auto" w:sz="0" w:space="0"/>
        </w:rPr>
        <w:t>2020年2月18日</w:t>
      </w:r>
    </w:p>
    <w:p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05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2020-02-24T02:48:25Z</dcterms:created>
  <dc:creator>黄振宇</dc:creator>
  <cp:lastModifiedBy>黄振宇</cp:lastModifiedBy>
  <dcterms:modified xsi:type="dcterms:W3CDTF">2020-02-24T02:55:11Z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