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95" w:beforeAutospacing="0" w:after="0" w:afterAutospacing="0"/>
        <w:ind w:left="0" w:right="0"/>
        <w:jc w:val="center"/>
        <w:rPr>
          <w:color w:val="0066CC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bdr w:val="none" w:color="auto" w:sz="0" w:space="0"/>
        </w:rPr>
        <w:t>财政部 税务总局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关于支持货物期货市场对外开放增值税政策的公告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财政部 税务总局公告2020年第12号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"http://www.chinatax.gov.cn/chinatax/n810341/n810755/c5144203/javascript:;"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"http://www.chinatax.gov.cn/chinatax/n810341/n810755/c5144203/javascript:;"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"http://www.chinatax.gov.cn/chinatax/n810341/n810755/c5144203/javascript:;"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为支持货物期货市场对外开放，现将有关增值税政策公告如下：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自2018年11月30日至2023年11月29日，对经国务院批准对外开放的货物期货品种保税交割业务，暂免征收增值税。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上述期货交易中实际交割的货物，如果发生进口或者出口的，统一按照现行货物进出口税收政策执行。非保税货物发生的期货实物交割仍按《国家税务总局关于下发＜货物期货征收增值税具体办法＞的通知》（国税发〔1994〕244号）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财政部 税务总局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2020年2月18日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2020-02-24T02:48:25Z</dcterms:created>
  <dc:creator>黄振宇</dc:creator>
  <cp:lastModifiedBy>黄振宇</cp:lastModifiedBy>
  <dcterms:modified xsi:type="dcterms:W3CDTF">2020-02-24T02:55:11Z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