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rFonts w:ascii="微软雅黑" w:hAnsi="微软雅黑" w:eastAsia="微软雅黑" w:cs="微软雅黑"/>
          <w:i w:val="0"/>
          <w:caps w:val="0"/>
          <w:color w:val="0066CC"/>
          <w:spacing w:val="0"/>
          <w:sz w:val="36"/>
          <w:szCs w:val="36"/>
          <w:bdr w:val="none" w:color="auto" w:sz="0" w:space="0"/>
        </w:rPr>
        <w:t>财政部 工业和信息化部</w:t>
      </w:r>
      <w:bookmarkStart w:id="0" w:name="_GoBack"/>
      <w:bookmarkEnd w:id="0"/>
      <w:r>
        <w:rPr>
          <w:rFonts w:ascii="微软雅黑" w:hAnsi="微软雅黑" w:eastAsia="微软雅黑" w:cs="微软雅黑"/>
          <w:i w:val="0"/>
          <w:caps w:val="0"/>
          <w:color w:val="0066CC"/>
          <w:spacing w:val="0"/>
          <w:sz w:val="36"/>
          <w:szCs w:val="36"/>
          <w:bdr w:val="none" w:color="auto" w:sz="0" w:space="0"/>
        </w:rPr>
        <w:t xml:space="preserve"> 海关总署 税务总局 能源局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i w:val="0"/>
          <w:caps w:val="0"/>
          <w:color w:val="CC0000"/>
          <w:spacing w:val="0"/>
          <w:kern w:val="0"/>
          <w:sz w:val="42"/>
          <w:szCs w:val="42"/>
          <w:bdr w:val="none" w:color="auto" w:sz="0" w:space="0"/>
          <w:lang w:val="en-US" w:eastAsia="zh-CN" w:bidi="ar"/>
        </w:rPr>
        <w:t>关于印发《重大技术装备进口税收政策管理办法》的通知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CC0000"/>
          <w:spacing w:val="0"/>
          <w:kern w:val="0"/>
          <w:sz w:val="11"/>
          <w:szCs w:val="1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财关税〔2020〕2号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"http://www.chinatax.gov.cn/chinatax/n810341/n810755/c5142591/javascript:;" \o "分享到微信"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"http://www.chinatax.gov.cn/chinatax/n810341/n810755/c5142591/javascript:;" \o "分享到新浪微博"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instrText xml:space="preserve"> HYPERLINK "http://www.chinatax.gov.cn/chinatax/n810341/n810755/c5142591/javascript:;" \o "分享到QQ空间" </w:instrTex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8"/>
          <w:szCs w:val="18"/>
          <w:u w:val="none"/>
          <w:bdr w:val="none" w:color="auto" w:sz="0" w:space="0"/>
        </w:rPr>
        <w:t> </w:t>
      </w:r>
      <w:r>
        <w:rPr>
          <w:rFonts w:hint="eastAsia" w:ascii="微软雅黑" w:hAnsi="微软雅黑" w:eastAsia="微软雅黑" w:cs="微软雅黑"/>
          <w:i w:val="0"/>
          <w:caps w:val="0"/>
          <w:color w:val="333333"/>
          <w:spacing w:val="0"/>
          <w:kern w:val="0"/>
          <w:sz w:val="18"/>
          <w:szCs w:val="18"/>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各省、自治区、直辖市、计划单列市财政厅（局）、工业和信息化主管部门，新疆生产建设兵团财政局，海关总署广东分署、各直属海关，国家税务总局各省、自治区、直辖市、计划单列市税务局，财政部各地监管局，国家税务总局驻各地特派员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为继续支持我国重大技术装备制造业发展，财政部会同工业和信息化部、海关总署、税务总局、能源局制定了《重大技术装备进口税收政策管理办法》（见附件），现予印发，自印发之日起实施。《财政部 国家发展改革委 工业和信息化部 海关总署 国家税务总局 国家能源局关于调整重大技术装备进口税收政策的通知》（财关税〔2014〕2号）和《财政部 国家发展改革委 工业和信息化部 海关总署 国家税务总局 国家能源局关于调整重大技术装备进口税收政策有关目录及规定的通知》（财关税〔2015〕51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附件：</w:t>
      </w:r>
      <w:r>
        <w:rPr>
          <w:rFonts w:hint="eastAsia" w:ascii="微软雅黑" w:hAnsi="微软雅黑" w:eastAsia="微软雅黑" w:cs="微软雅黑"/>
          <w:i w:val="0"/>
          <w:caps w:val="0"/>
          <w:color w:val="0000FF"/>
          <w:spacing w:val="0"/>
          <w:sz w:val="24"/>
          <w:szCs w:val="24"/>
          <w:u w:val="none"/>
          <w:bdr w:val="none" w:color="auto" w:sz="0" w:space="0"/>
        </w:rPr>
        <w:fldChar w:fldCharType="begin"/>
      </w:r>
      <w:r>
        <w:rPr>
          <w:rFonts w:hint="eastAsia" w:ascii="微软雅黑" w:hAnsi="微软雅黑" w:eastAsia="微软雅黑" w:cs="微软雅黑"/>
          <w:i w:val="0"/>
          <w:caps w:val="0"/>
          <w:color w:val="0000FF"/>
          <w:spacing w:val="0"/>
          <w:sz w:val="24"/>
          <w:szCs w:val="24"/>
          <w:u w:val="none"/>
          <w:bdr w:val="none" w:color="auto" w:sz="0" w:space="0"/>
        </w:rPr>
        <w:instrText xml:space="preserve"> HYPERLINK "http://www.chinatax.gov.cn/chinatax/n810341/n810755/c5142591/5142591/files/c002b7f96453418d94fe67ce8888b955.pdf" \t "http://www.chinatax.gov.cn/chinatax/n810341/n810755/c5142591/_blank" </w:instrText>
      </w:r>
      <w:r>
        <w:rPr>
          <w:rFonts w:hint="eastAsia" w:ascii="微软雅黑" w:hAnsi="微软雅黑" w:eastAsia="微软雅黑" w:cs="微软雅黑"/>
          <w:i w:val="0"/>
          <w:caps w:val="0"/>
          <w:color w:val="0000FF"/>
          <w:spacing w:val="0"/>
          <w:sz w:val="24"/>
          <w:szCs w:val="24"/>
          <w:u w:val="none"/>
          <w:bdr w:val="none" w:color="auto" w:sz="0" w:space="0"/>
        </w:rPr>
        <w:fldChar w:fldCharType="separate"/>
      </w:r>
      <w:r>
        <w:rPr>
          <w:rStyle w:val="5"/>
          <w:rFonts w:hint="eastAsia" w:ascii="微软雅黑" w:hAnsi="微软雅黑" w:eastAsia="微软雅黑" w:cs="微软雅黑"/>
          <w:i w:val="0"/>
          <w:caps w:val="0"/>
          <w:color w:val="0000FF"/>
          <w:spacing w:val="0"/>
          <w:sz w:val="24"/>
          <w:szCs w:val="24"/>
          <w:u w:val="none"/>
          <w:bdr w:val="none" w:color="auto" w:sz="0" w:space="0"/>
        </w:rPr>
        <w:t>重大技术装备进口税收政策管理办法</w:t>
      </w:r>
      <w:r>
        <w:rPr>
          <w:rFonts w:hint="eastAsia" w:ascii="微软雅黑" w:hAnsi="微软雅黑" w:eastAsia="微软雅黑" w:cs="微软雅黑"/>
          <w:i w:val="0"/>
          <w:caps w:val="0"/>
          <w:color w:val="0000FF"/>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财政部 工业和信息化部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海关总署 税务总局 能源局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2020年1月8日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5D0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2020-02-10T02:22:57Z</dcterms:created>
  <dc:creator>黄振宇</dc:creator>
  <cp:lastModifiedBy>黄振宇</cp:lastModifiedBy>
  <dcterms:modified xsi:type="dcterms:W3CDTF">2020-02-10T02:23:32Z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