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95" w:beforeAutospacing="0" w:after="0" w:afterAutospacing="0"/>
        <w:ind w:left="0" w:right="0"/>
        <w:jc w:val="center"/>
        <w:rPr>
          <w:color w:val="0066CC"/>
          <w:sz w:val="36"/>
          <w:szCs w:val="36"/>
        </w:rPr>
      </w:pPr>
      <w:r>
        <w:rPr>
          <w:rFonts w:ascii="微软雅黑" w:hAnsi="微软雅黑" w:eastAsia="微软雅黑" w:cs="微软雅黑"/>
          <w:i w:val="0"/>
          <w:caps w:val="0"/>
          <w:color w:val="0066CC"/>
          <w:spacing w:val="0"/>
          <w:sz w:val="36"/>
          <w:szCs w:val="36"/>
          <w:bdr w:val="none" w:color="auto" w:sz="0" w:space="0"/>
        </w:rPr>
        <w:t>财政部 税务总局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6" w:right="0" w:firstLine="0"/>
        <w:jc w:val="center"/>
        <w:rPr>
          <w:rFonts w:hint="eastAsia" w:ascii="微软雅黑" w:hAnsi="微软雅黑" w:eastAsia="微软雅黑" w:cs="微软雅黑"/>
          <w:i w:val="0"/>
          <w:caps w:val="0"/>
          <w:color w:val="CC0000"/>
          <w:spacing w:val="0"/>
          <w:kern w:val="0"/>
          <w:sz w:val="42"/>
          <w:szCs w:val="42"/>
          <w:bdr w:val="none" w:color="auto" w:sz="0" w:space="0"/>
          <w:lang w:val="en-US" w:eastAsia="zh-CN" w:bidi="ar"/>
        </w:rPr>
      </w:pPr>
      <w:r>
        <w:rPr>
          <w:rFonts w:hint="eastAsia" w:ascii="微软雅黑" w:hAnsi="微软雅黑" w:eastAsia="微软雅黑" w:cs="微软雅黑"/>
          <w:i w:val="0"/>
          <w:caps w:val="0"/>
          <w:color w:val="CC0000"/>
          <w:spacing w:val="0"/>
          <w:kern w:val="0"/>
          <w:sz w:val="42"/>
          <w:szCs w:val="42"/>
          <w:bdr w:val="none" w:color="auto" w:sz="0" w:space="0"/>
          <w:lang w:val="en-US" w:eastAsia="zh-CN" w:bidi="ar"/>
        </w:rPr>
        <w:t>关于境外所得有关个人所得税政策的公告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6" w:right="0" w:firstLine="0"/>
        <w:jc w:val="center"/>
        <w:rPr>
          <w:rFonts w:hint="eastAsia" w:ascii="微软雅黑" w:hAnsi="微软雅黑" w:eastAsia="微软雅黑" w:cs="微软雅黑"/>
          <w:b w:val="0"/>
          <w:i w:val="0"/>
          <w:caps w:val="0"/>
          <w:color w:val="666666"/>
          <w:spacing w:val="0"/>
          <w:kern w:val="0"/>
          <w:sz w:val="21"/>
          <w:szCs w:val="21"/>
          <w:bdr w:val="none" w:color="auto" w:sz="0" w:space="0"/>
          <w:lang w:val="en-US" w:eastAsia="zh-CN" w:bidi="ar"/>
        </w:rPr>
      </w:pPr>
      <w:bookmarkStart w:id="0" w:name="_GoBack"/>
      <w:r>
        <w:rPr>
          <w:rFonts w:hint="eastAsia" w:ascii="微软雅黑" w:hAnsi="微软雅黑" w:eastAsia="微软雅黑" w:cs="微软雅黑"/>
          <w:b w:val="0"/>
          <w:i w:val="0"/>
          <w:caps w:val="0"/>
          <w:color w:val="666666"/>
          <w:spacing w:val="0"/>
          <w:kern w:val="0"/>
          <w:sz w:val="21"/>
          <w:szCs w:val="21"/>
          <w:bdr w:val="none" w:color="auto" w:sz="0" w:space="0"/>
          <w:lang w:val="en-US" w:eastAsia="zh-CN" w:bidi="ar"/>
        </w:rPr>
        <w:t>财政部 税务总局公告2020年第3号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6" w:right="0" w:firstLine="0"/>
        <w:jc w:val="left"/>
        <w:rPr>
          <w:rFonts w:hint="eastAsia" w:ascii="微软雅黑" w:hAnsi="微软雅黑" w:eastAsia="微软雅黑" w:cs="微软雅黑"/>
          <w:b w:val="0"/>
          <w:i w:val="0"/>
          <w:caps w:val="0"/>
          <w:color w:val="666666"/>
          <w:spacing w:val="0"/>
          <w:kern w:val="0"/>
          <w:sz w:val="21"/>
          <w:szCs w:val="21"/>
          <w:bdr w:val="none" w:color="auto" w:sz="0" w:space="0"/>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为贯彻落实《中华人民共和国个人所得税法》和《中华人民共和国个人所得税法实施条例》（以下称个人所得税法及其实施条例），现将境外所得有关个人所得税政策公告如下：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一、下列所得，为来源于中国境外的所得：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（一）因任职、受雇、履约等在中国境外提供劳务取得的所得；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（二）中国境外企业以及其他组织支付且负担的稿酬所得；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（三）许可各种特许权在中国境外使用而取得的所得；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（四）在中国境外从事生产、经营活动而取得的与生产、经营活动相关的所得；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（五）从中国境外企业、其他组织以及非居民个人取得的利息、股息、红利所得；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（六）将财产出租给承租人在中国境外使用而取得的所得；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七）转让中国境外的不动产、转让对中国境外企业以及其他组织投资形成的股票、股权以及其他权益性资产（以下称权益性资产）或者在中国境外转让其他财产取得的所得。但转让对中国境外企业以及其他组织投资形成的权益性资产，该权益性资产被转让前三年（连续36个公历月份）内的任一时间，被投资企业或其他组织的资产公允价值50%以上直接或间接来自位于中国境内的不动产的，取得的所得为来源于中国境内的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（八）中国境外企业、其他组织以及非居民个人支付且负担的偶然所得；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（九）财政部、税务总局另有规定的，按照相关规定执行。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二、居民个人应当依照个人所得税法及其实施条例规定，按照以下方法计算当期境内和境外所得应纳税额：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（一）居民个人来源于中国境外的综合所得，应当与境内综合所得合并计算应纳税额；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二）居民个人来源于中国境外的经营所得，应当与境内经营所得合并计算应纳税额。居民个人来源于境外的经营所得，按照个人所得税法及其实施条例的有关规定计算的亏损，不得抵减其境内或他国（地区）的应纳税所得额，但可以用来源于同一国家（地区）以后年度的经营所得按中国税法规定弥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（三）居民个人来源于中国境外的利息、股息、红利所得，财产租赁所得，财产转让所得和偶然所得（以下称其他分类所得），不与境内所得合并，应当分别单独计算应纳税额。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三、居民个人在一个纳税年度内来源于中国境外的所得，依照所得来源国家（地区）税收法律规定在中国境外已缴纳的所得税税额允许在抵免限额内从其该纳税年度应纳税额中抵免。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居民个人来源于一国（地区）的综合所得、经营所得以及其他分类所得项目的应纳税额为其抵免限额，按照下列公式计算：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（一）来源于一国（地区）综合所得的抵免限额＝中国境内和境外综合所得依照本公告第二条规定计算的综合所得应纳税额×来源于该国（地区）的综合所得收入额÷中国境内和境外综合所得收入额合计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二）来源于一国（地区）经营所得的抵免限额＝中国境内和境外经营所得依照本公告第二条规定计算的经营所得应纳税额×来源于该国（地区）的经营所得应纳税所得额÷中国境内和境外经营所得应纳税所得额合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（三）来源于一国（地区）其他分类所得的抵免限额＝该国（地区）的其他分类所得依照本公告第二条规定计算的应纳税额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（四）来源于一国（地区）所得的抵免限额=来源于该国（地区）综合所得抵免限额+来源于该国（地区）经营所得抵免限额+来源于该国（地区）其他分类所得抵免限额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四、可抵免的境外所得税税额，是指居民个人取得境外所得，依照该所得来源国（地区）税收法律应当缴纳且实际已经缴纳的所得税性质的税额。可抵免的境外所得税额不包括以下情形：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（一）按照境外所得税法律属于错缴或错征的境外所得税税额；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（二）按照我国政府签订的避免双重征税协定以及内地与香港、澳门签订的避免双重征税安排（以下统称税收协定）规定不应征收的境外所得税税额；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（三）因少缴或迟缴境外所得税而追加的利息、滞纳金或罚款；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（四）境外所得税纳税人或者其利害关系人从境外征税主体得到实际返还或补偿的境外所得税税款；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（五）按照我国个人所得税法及其实施条例规定，已经免税的境外所得负担的境外所得税税款。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五、居民个人从与我国签订税收协定的国家（地区）取得的所得，按照该国（地区）税收法律享受免税或减税待遇，且该免税或减税的数额按照税收协定饶让条款规定应视同已缴税额在中国的应纳税额中抵免的，该免税或减税数额可作为居民个人实际缴纳的境外所得税税额按规定申报税收抵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六、居民个人一个纳税年度内来源于一国（地区）的所得实际已经缴纳的所得税税额，低于依照本公告第三条规定计算出的来源于该国（地区）该纳税年度所得的抵免限额的，应以实际缴纳税额作为抵免额进行抵免；超过来源于该国（地区）该纳税年度所得的抵免限额的，应在限额内进行抵免，超过部分可以在以后五个纳税年度内结转抵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七、居民个人从中国境外取得所得的，应当在取得所得的次年3月1日至6月30日内申报纳税。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八、居民个人取得境外所得，应当向中国境内任职、受雇单位所在地主管税务机关办理纳税申报；在中国境内没有任职、受雇单位的，向户籍所在地或中国境内经常居住地主管税务机关办理纳税申报；户籍所在地与中国境内经常居住地不一致的，选择其中一地主管税务机关办理纳税申报；在中国境内没有户籍的，向中国境内经常居住地主管税务机关办理纳税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九、居民个人取得境外所得的境外纳税年度与公历年度不一致的，取得境外所得的境外纳税年度最后一日所在的公历年度，为境外所得对应的我国纳税年度。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十、居民个人申报境外所得税收抵免时，除另有规定外，应当提供境外征税主体出具的税款所属年度的完税证明、税收缴款书或者纳税记录等纳税凭证，未提供符合要求的纳税凭证，不予抵免。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居民个人已申报境外所得、未进行税收抵免，在以后纳税年度取得纳税凭证并申报境外所得税收抵免的，可以追溯至该境外所得所属纳税年度进行抵免，但追溯年度不得超过五年。自取得该项境外所得的五个年度内，境外征税主体出具的税款所属纳税年度纳税凭证载明的实际缴纳税额发生变化的，按实际缴纳税额重新计算并办理补退税，不加收税收滞纳金，不退还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纳税人确实无法提供纳税凭证的，可同时凭境外所得纳税申报表（或者境外征税主体确认的缴税通知书）以及对应的银行缴款凭证办理境外所得抵免事宜。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十一、居民个人被境内企业、单位、其他组织（以下称派出单位）派往境外工作，取得的工资薪金所得或者劳务报酬所得，由派出单位或者其他境内单位支付或负担的，派出单位或者其他境内单位应按照个人所得税法及其实施条例规定预扣预缴税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居民个人被派出单位派往境外工作，取得的工资薪金所得或者劳务报酬所得，由境外单位支付或负担的，如果境外单位为境外任职、受雇的中方机构（以下称中方机构）的，可以由境外任职、受雇的中方机构预扣税款，并委托派出单位向主管税务机关申报纳税。中方机构未预扣税款的或者境外单位不是中方机构的，派出单位应当于次年2月28日前向其主管税务机关报送外派人员情况，包括：外派人员的姓名、身份证件类型及身份证件号码、职务、派往国家和地区、境外工作单位名称和地址、派遣期限、境内外收入及缴税情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中方机构包括中国境内企业、事业单位、其他经济组织以及国家机关所属的境外分支机构、子公司、使（领）馆、代表处等。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十二、居民个人取得来源于境外的所得或者实际已经在境外缴纳的所得税税额为人民币以外货币，应当按照《中华人民共和国个人所得税法实施条例》第三十二条折合计算。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十三、纳税人和扣缴义务人未按本公告规定申报缴纳、扣缴境外所得个人所得税以及报送资料的，按照《中华人民共和国税收征收管理法》和个人所得税法及其实施条例等有关规定处理，并按规定纳入个人纳税信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十四、本公告适用于2019年度及以后年度税收处理事宜。以前年度尚未抵免完毕的税额，可按本公告第六条规定处理。下列文件或文件条款同时废止：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1.《财政部 国家税务总局关于个人股票期权所得征收个人所得税问题的通知》（财税〔2005〕35号）第三条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2.《国家税务总局关于境外所得征收个人所得税若干问题的通知》（国税发〔1994〕44号）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3.《国家税务总局关于企业和个人的外币收入如何折合成人民币计算缴纳税款问题的通知》（国税发〔1995〕173号）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特此公告。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righ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                                                                 财政部 税务总局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right"/>
        <w:rPr>
          <w:rFonts w:hint="eastAsia" w:ascii="微软雅黑" w:hAnsi="微软雅黑" w:eastAsia="微软雅黑" w:cs="微软雅黑"/>
          <w:color w:val="333333"/>
          <w:sz w:val="24"/>
          <w:szCs w:val="24"/>
        </w:rPr>
      </w:pPr>
      <w:r>
        <w:rPr>
          <w:rFonts w:hint="eastAsia" w:ascii="微软雅黑" w:hAnsi="微软雅黑" w:eastAsia="微软雅黑" w:cs="微软雅黑"/>
          <w:i w:val="0"/>
          <w:caps w:val="0"/>
          <w:color w:val="333333"/>
          <w:spacing w:val="0"/>
          <w:sz w:val="24"/>
          <w:szCs w:val="24"/>
          <w:bdr w:val="none" w:color="auto" w:sz="0" w:space="0"/>
        </w:rPr>
        <w:t>                                                                  2020年1月17日</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254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2020-02-10T01:49:05Z</dcterms:created>
  <dc:creator>黄振宇</dc:creator>
  <cp:lastModifiedBy>黄振宇</cp:lastModifiedBy>
  <dcterms:modified xsi:type="dcterms:W3CDTF">2020-02-10T01:52:53Z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