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b/>
          <w:bCs/>
          <w:color w:val="0066CC"/>
          <w:sz w:val="40"/>
          <w:szCs w:val="40"/>
        </w:rPr>
      </w:pPr>
      <w:r>
        <w:rPr>
          <w:b/>
          <w:bCs/>
          <w:color w:val="0066CC"/>
          <w:sz w:val="40"/>
          <w:szCs w:val="40"/>
          <w:bdr w:val="none" w:color="auto" w:sz="0" w:space="0"/>
        </w:rPr>
        <w:t>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CC0000"/>
          <w:kern w:val="0"/>
          <w:sz w:val="44"/>
          <w:szCs w:val="44"/>
          <w:bdr w:val="none" w:color="auto" w:sz="0" w:space="0"/>
          <w:lang w:val="en-US" w:eastAsia="zh-CN" w:bidi="ar"/>
        </w:rPr>
      </w:pPr>
      <w:r>
        <w:rPr>
          <w:rFonts w:ascii="宋体" w:hAnsi="宋体" w:eastAsia="宋体" w:cs="宋体"/>
          <w:b/>
          <w:bCs/>
          <w:color w:val="CC0000"/>
          <w:kern w:val="0"/>
          <w:sz w:val="44"/>
          <w:szCs w:val="44"/>
          <w:bdr w:val="none" w:color="auto" w:sz="0" w:space="0"/>
          <w:lang w:val="en-US" w:eastAsia="zh-CN" w:bidi="ar"/>
        </w:rPr>
        <w:t>关于水利建设基金等政府非税收入项目征管职责划转有关事项的公告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666666"/>
          <w:kern w:val="0"/>
          <w:sz w:val="22"/>
          <w:szCs w:val="2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666666"/>
          <w:kern w:val="0"/>
          <w:sz w:val="22"/>
          <w:szCs w:val="2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hint="eastAsia" w:ascii="宋体" w:hAnsi="宋体" w:eastAsia="宋体" w:cs="宋体"/>
          <w:b/>
          <w:bCs/>
          <w:color w:val="666666"/>
          <w:kern w:val="0"/>
          <w:sz w:val="22"/>
          <w:szCs w:val="22"/>
          <w:bdr w:val="none" w:color="auto" w:sz="0" w:space="0"/>
          <w:lang w:val="en-US" w:eastAsia="zh-CN" w:bidi="ar"/>
        </w:rPr>
      </w:pPr>
      <w:bookmarkStart w:id="0" w:name="_GoBack"/>
      <w:r>
        <w:rPr>
          <w:rFonts w:ascii="宋体" w:hAnsi="宋体" w:eastAsia="宋体" w:cs="宋体"/>
          <w:b/>
          <w:bCs/>
          <w:color w:val="666666"/>
          <w:kern w:val="0"/>
          <w:sz w:val="22"/>
          <w:szCs w:val="22"/>
          <w:bdr w:val="none" w:color="auto" w:sz="0" w:space="0"/>
          <w:lang w:val="en-US" w:eastAsia="zh-CN" w:bidi="ar"/>
        </w:rPr>
        <w:t>国家税务总局公告2020年第2</w:t>
      </w:r>
      <w:r>
        <w:rPr>
          <w:rFonts w:hint="eastAsia" w:ascii="宋体" w:hAnsi="宋体" w:eastAsia="宋体" w:cs="宋体"/>
          <w:b/>
          <w:bCs/>
          <w:color w:val="666666"/>
          <w:kern w:val="0"/>
          <w:sz w:val="22"/>
          <w:szCs w:val="22"/>
          <w:bdr w:val="none" w:color="auto" w:sz="0" w:space="0"/>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left"/>
        <w:rPr>
          <w:rFonts w:hint="default" w:ascii="宋体" w:hAnsi="宋体" w:eastAsia="宋体" w:cs="宋体"/>
          <w:b w:val="0"/>
          <w:color w:val="666666"/>
          <w:kern w:val="0"/>
          <w:sz w:val="21"/>
          <w:szCs w:val="21"/>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根据国务院关于政府非税收入（以下简称“非税收入”）征管职责划转的有关要求，水利建设基金等非税收入项目划转至税务部门征收。为确保非税收入征管职责划转及各项征管工作平稳有序运行，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一、自2020年起，地方政府及有关部门负责征收的国家重大水利工程建设基金，以及向企事业单位和个体经营者征收的水利建设基金，划转至税务部门征收。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二、所属期为2019年度的上述项目费款，收缴及汇算清缴工作继续由原执收（监缴）部门负责完成。所属期为2020年度的上述项目费款，自2020年2月1日起，由缴费人向税务部门申报缴纳。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三、税务部门按照属地原则征收上述项目，具体征收机关由国家税务总局各省、自治区、直辖市和计划单列市税务局按照“便民、高效”原则确定。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四、上述项目的征收范围、对象和标准，以及收入分成和使用等政策仍按照现行规定执行。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五、缴费人采用自行申报方式办理申报缴纳等有关事项。申报可以使用《非税收入通用申报表》（附件）。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六、符合非税收入减免政策的，缴费人自行申报享受，相关资料由缴费人留存备查，并对资料的真实性和合法性承担责任。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七、国家税务总局各省、自治区、直辖市和计划单列市税务局可根据本公告制定具体实施办法。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本公告自2020年2月1日起施行。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附件：</w: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24"/>
          <w:szCs w:val="24"/>
          <w:u w:val="none"/>
          <w:bdr w:val="none" w:color="auto" w:sz="0" w:space="0"/>
          <w:shd w:val="clear" w:fill="FFFFFF"/>
        </w:rPr>
        <w:instrText xml:space="preserve"> HYPERLINK "http://www.chinatax.gov.cn/chinatax/n810341/n810755/c5142999/5142999/files/13fc1063547449d7b3ba62a9647ff800.doc" \t "http://www.chinatax.gov.cn/chinatax/n810341/n810755/c5142999/_blank" </w:instrTex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caps w:val="0"/>
          <w:color w:val="0000FF"/>
          <w:spacing w:val="0"/>
          <w:sz w:val="24"/>
          <w:szCs w:val="24"/>
          <w:u w:val="none"/>
          <w:bdr w:val="none" w:color="auto" w:sz="0" w:space="0"/>
          <w:shd w:val="clear" w:fill="FFFFFF"/>
        </w:rPr>
        <w:t>非税收入通用申报表</w: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2020年1月19日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链接：</w: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24"/>
          <w:szCs w:val="24"/>
          <w:u w:val="none"/>
          <w:bdr w:val="none" w:color="auto" w:sz="0" w:space="0"/>
          <w:shd w:val="clear" w:fill="FFFFFF"/>
        </w:rPr>
        <w:instrText xml:space="preserve"> HYPERLINK "http://www.chinatax.gov.cn/chinatax/n810341/n810760/c5142998/content.html" \t "http://www.chinatax.gov.cn/chinatax/n810341/n810755/c5142999/_blank" </w:instrTex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caps w:val="0"/>
          <w:color w:val="0000FF"/>
          <w:spacing w:val="0"/>
          <w:sz w:val="24"/>
          <w:szCs w:val="24"/>
          <w:u w:val="none"/>
          <w:bdr w:val="none" w:color="auto" w:sz="0" w:space="0"/>
          <w:shd w:val="clear" w:fill="FFFFFF"/>
        </w:rPr>
        <w:t>相关政策解读</w:t>
      </w:r>
      <w:r>
        <w:rPr>
          <w:rFonts w:hint="eastAsia" w:ascii="微软雅黑" w:hAnsi="微软雅黑" w:eastAsia="微软雅黑" w:cs="微软雅黑"/>
          <w:i w:val="0"/>
          <w:caps w:val="0"/>
          <w:color w:val="0000FF"/>
          <w:spacing w:val="0"/>
          <w:sz w:val="24"/>
          <w:szCs w:val="24"/>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24"/>
          <w:szCs w:val="24"/>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476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2020-02-10T01:18:34Z</dcterms:created>
  <dc:creator>黄振宇</dc:creator>
  <cp:lastModifiedBy>黄振宇</cp:lastModifiedBy>
  <dcterms:modified xsi:type="dcterms:W3CDTF">2020-02-10T01:19:49Z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