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36" w:beforeAutospacing="0" w:after="0" w:afterAutospacing="0"/>
        <w:ind w:left="0" w:right="0"/>
        <w:jc w:val="center"/>
        <w:rPr>
          <w:color w:val="0066CC"/>
          <w:sz w:val="28"/>
          <w:szCs w:val="28"/>
        </w:rPr>
      </w:pPr>
      <w:bookmarkStart w:id="0" w:name="_GoBack"/>
      <w:r>
        <w:rPr>
          <w:color w:val="0066CC"/>
          <w:sz w:val="28"/>
          <w:szCs w:val="28"/>
          <w:bdr w:val="none" w:color="auto" w:sz="0" w:space="0"/>
        </w:rPr>
        <w:t>国家税务总局</w:t>
      </w:r>
    </w:p>
    <w:p>
      <w:pPr>
        <w:keepNext w:val="0"/>
        <w:keepLines w:val="0"/>
        <w:widowControl/>
        <w:suppressLineNumbers w:val="0"/>
        <w:pBdr>
          <w:top w:val="none" w:color="auto" w:sz="0" w:space="0"/>
          <w:left w:val="none" w:color="auto" w:sz="0" w:space="0"/>
          <w:bottom w:val="single" w:color="DEDCD8" w:sz="4" w:space="6"/>
          <w:right w:val="none" w:color="auto" w:sz="0" w:space="0"/>
        </w:pBdr>
        <w:spacing w:before="0" w:beforeAutospacing="0" w:after="0" w:afterAutospacing="0"/>
        <w:ind w:left="0" w:right="0"/>
        <w:jc w:val="center"/>
        <w:rPr>
          <w:rFonts w:ascii="宋体" w:hAnsi="宋体" w:eastAsia="宋体" w:cs="宋体"/>
          <w:color w:val="CC0000"/>
          <w:kern w:val="0"/>
          <w:sz w:val="33"/>
          <w:szCs w:val="33"/>
          <w:bdr w:val="none" w:color="auto" w:sz="0" w:space="0"/>
          <w:lang w:val="en-US" w:eastAsia="zh-CN" w:bidi="ar"/>
        </w:rPr>
      </w:pPr>
      <w:r>
        <w:rPr>
          <w:rFonts w:ascii="宋体" w:hAnsi="宋体" w:eastAsia="宋体" w:cs="宋体"/>
          <w:color w:val="CC0000"/>
          <w:kern w:val="0"/>
          <w:sz w:val="33"/>
          <w:szCs w:val="33"/>
          <w:bdr w:val="none" w:color="auto" w:sz="0" w:space="0"/>
          <w:lang w:val="en-US" w:eastAsia="zh-CN" w:bidi="ar"/>
        </w:rPr>
        <w:t>关于发布《非居民纳税人享受协定待遇管理办法》的公告</w:t>
      </w:r>
      <w:bookmarkEnd w:id="0"/>
    </w:p>
    <w:p>
      <w:pPr>
        <w:keepNext w:val="0"/>
        <w:keepLines w:val="0"/>
        <w:widowControl/>
        <w:suppressLineNumbers w:val="0"/>
        <w:pBdr>
          <w:top w:val="none" w:color="auto" w:sz="0" w:space="0"/>
          <w:left w:val="none" w:color="auto" w:sz="0" w:space="0"/>
          <w:bottom w:val="single" w:color="DEDCD8" w:sz="4" w:space="6"/>
          <w:right w:val="none" w:color="auto" w:sz="0" w:space="0"/>
        </w:pBdr>
        <w:spacing w:before="0" w:beforeAutospacing="0" w:after="0" w:afterAutospacing="0"/>
        <w:ind w:left="0" w:right="0"/>
        <w:jc w:val="center"/>
        <w:rPr>
          <w:rFonts w:ascii="宋体" w:hAnsi="宋体" w:eastAsia="宋体" w:cs="宋体"/>
          <w:color w:val="CC0000"/>
          <w:kern w:val="0"/>
          <w:sz w:val="33"/>
          <w:szCs w:val="33"/>
          <w:bdr w:val="none" w:color="auto" w:sz="0" w:space="0"/>
          <w:lang w:val="en-US" w:eastAsia="zh-CN" w:bidi="ar"/>
        </w:rPr>
      </w:pPr>
    </w:p>
    <w:p>
      <w:pPr>
        <w:keepNext w:val="0"/>
        <w:keepLines w:val="0"/>
        <w:widowControl/>
        <w:suppressLineNumbers w:val="0"/>
        <w:pBdr>
          <w:top w:val="none" w:color="auto" w:sz="0" w:space="0"/>
          <w:left w:val="none" w:color="auto" w:sz="0" w:space="0"/>
          <w:bottom w:val="single" w:color="DEDCD8" w:sz="4" w:space="6"/>
          <w:right w:val="none" w:color="auto" w:sz="0" w:space="0"/>
        </w:pBdr>
        <w:spacing w:before="0" w:beforeAutospacing="0" w:after="0" w:afterAutospacing="0"/>
        <w:ind w:left="0" w:right="0"/>
        <w:jc w:val="center"/>
      </w:pPr>
      <w:r>
        <w:rPr>
          <w:rFonts w:ascii="宋体" w:hAnsi="宋体" w:eastAsia="宋体" w:cs="宋体"/>
          <w:b w:val="0"/>
          <w:color w:val="666666"/>
          <w:kern w:val="0"/>
          <w:sz w:val="16"/>
          <w:szCs w:val="16"/>
          <w:bdr w:val="none" w:color="auto" w:sz="0" w:space="0"/>
          <w:lang w:val="en-US" w:eastAsia="zh-CN" w:bidi="ar"/>
        </w:rPr>
        <w:t>国家税务总局公告2019年第35号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333333"/>
          <w:kern w:val="0"/>
          <w:sz w:val="24"/>
          <w:szCs w:val="24"/>
          <w:u w:val="none"/>
          <w:bdr w:val="none" w:color="auto" w:sz="0" w:space="0"/>
          <w:lang w:val="en-US" w:eastAsia="zh-CN" w:bidi="ar"/>
        </w:rPr>
        <w:fldChar w:fldCharType="begin"/>
      </w:r>
      <w:r>
        <w:rPr>
          <w:rFonts w:ascii="宋体" w:hAnsi="宋体" w:eastAsia="宋体" w:cs="宋体"/>
          <w:color w:val="333333"/>
          <w:kern w:val="0"/>
          <w:sz w:val="24"/>
          <w:szCs w:val="24"/>
          <w:u w:val="none"/>
          <w:bdr w:val="none" w:color="auto" w:sz="0" w:space="0"/>
          <w:lang w:val="en-US" w:eastAsia="zh-CN" w:bidi="ar"/>
        </w:rPr>
        <w:instrText xml:space="preserve"> HYPERLINK "http://www.chinatax.gov.cn/chinatax/n810341/n810755/c5138275/content.html" \t "http://www.chinatax.gov.cn/chinatax/n810341/n810755/c5138275/_blank" </w:instrText>
      </w:r>
      <w:r>
        <w:rPr>
          <w:rFonts w:ascii="宋体" w:hAnsi="宋体" w:eastAsia="宋体" w:cs="宋体"/>
          <w:color w:val="333333"/>
          <w:kern w:val="0"/>
          <w:sz w:val="24"/>
          <w:szCs w:val="24"/>
          <w:u w:val="none"/>
          <w:bdr w:val="none" w:color="auto" w:sz="0" w:space="0"/>
          <w:lang w:val="en-US" w:eastAsia="zh-CN" w:bidi="ar"/>
        </w:rPr>
        <w:fldChar w:fldCharType="separate"/>
      </w:r>
      <w:r>
        <w:rPr>
          <w:rFonts w:ascii="宋体" w:hAnsi="宋体" w:eastAsia="宋体" w:cs="宋体"/>
          <w:color w:val="333333"/>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color w:val="333333"/>
          <w:kern w:val="0"/>
          <w:sz w:val="24"/>
          <w:szCs w:val="24"/>
          <w:u w:val="none"/>
          <w:bdr w:val="none" w:color="auto" w:sz="0" w:space="0"/>
          <w:lang w:val="en-US" w:eastAsia="zh-CN" w:bidi="ar"/>
        </w:rPr>
        <w:fldChar w:fldCharType="begin"/>
      </w:r>
      <w:r>
        <w:rPr>
          <w:rFonts w:ascii="宋体" w:hAnsi="宋体" w:eastAsia="宋体" w:cs="宋体"/>
          <w:color w:val="333333"/>
          <w:kern w:val="0"/>
          <w:sz w:val="24"/>
          <w:szCs w:val="24"/>
          <w:u w:val="none"/>
          <w:bdr w:val="none" w:color="auto" w:sz="0" w:space="0"/>
          <w:lang w:val="en-US" w:eastAsia="zh-CN" w:bidi="ar"/>
        </w:rPr>
        <w:instrText xml:space="preserve"> HYPERLINK "http://www.chinatax.gov.cn/chinatax/n810341/n810755/c5138275/content.html" \o "分享到微信" </w:instrText>
      </w:r>
      <w:r>
        <w:rPr>
          <w:rFonts w:ascii="宋体" w:hAnsi="宋体" w:eastAsia="宋体" w:cs="宋体"/>
          <w:color w:val="333333"/>
          <w:kern w:val="0"/>
          <w:sz w:val="24"/>
          <w:szCs w:val="24"/>
          <w:u w:val="none"/>
          <w:bdr w:val="none" w:color="auto" w:sz="0" w:space="0"/>
          <w:lang w:val="en-US" w:eastAsia="zh-CN" w:bidi="ar"/>
        </w:rPr>
        <w:fldChar w:fldCharType="separate"/>
      </w:r>
      <w:r>
        <w:rPr>
          <w:rStyle w:val="5"/>
          <w:rFonts w:ascii="宋体" w:hAnsi="宋体" w:eastAsia="宋体" w:cs="宋体"/>
          <w:color w:val="333333"/>
          <w:sz w:val="24"/>
          <w:szCs w:val="24"/>
          <w:u w:val="none"/>
          <w:bdr w:val="none" w:color="auto" w:sz="0" w:space="0"/>
        </w:rPr>
        <w:t> </w:t>
      </w:r>
      <w:r>
        <w:rPr>
          <w:rFonts w:ascii="宋体" w:hAnsi="宋体" w:eastAsia="宋体" w:cs="宋体"/>
          <w:color w:val="333333"/>
          <w:kern w:val="0"/>
          <w:sz w:val="24"/>
          <w:szCs w:val="24"/>
          <w:u w:val="none"/>
          <w:bdr w:val="none" w:color="auto" w:sz="0" w:space="0"/>
          <w:lang w:val="en-US" w:eastAsia="zh-CN" w:bidi="ar"/>
        </w:rPr>
        <w:fldChar w:fldCharType="end"/>
      </w:r>
      <w:r>
        <w:rPr>
          <w:rFonts w:ascii="宋体" w:hAnsi="宋体" w:eastAsia="宋体" w:cs="宋体"/>
          <w:color w:val="333333"/>
          <w:kern w:val="0"/>
          <w:sz w:val="24"/>
          <w:szCs w:val="24"/>
          <w:u w:val="none"/>
          <w:bdr w:val="none" w:color="auto" w:sz="0" w:space="0"/>
          <w:lang w:val="en-US" w:eastAsia="zh-CN" w:bidi="ar"/>
        </w:rPr>
        <w:fldChar w:fldCharType="begin"/>
      </w:r>
      <w:r>
        <w:rPr>
          <w:rFonts w:ascii="宋体" w:hAnsi="宋体" w:eastAsia="宋体" w:cs="宋体"/>
          <w:color w:val="333333"/>
          <w:kern w:val="0"/>
          <w:sz w:val="24"/>
          <w:szCs w:val="24"/>
          <w:u w:val="none"/>
          <w:bdr w:val="none" w:color="auto" w:sz="0" w:space="0"/>
          <w:lang w:val="en-US" w:eastAsia="zh-CN" w:bidi="ar"/>
        </w:rPr>
        <w:instrText xml:space="preserve"> HYPERLINK "http://www.chinatax.gov.cn/chinatax/n810341/n810755/c5138275/content.html" \o "分享到新浪微博" </w:instrText>
      </w:r>
      <w:r>
        <w:rPr>
          <w:rFonts w:ascii="宋体" w:hAnsi="宋体" w:eastAsia="宋体" w:cs="宋体"/>
          <w:color w:val="333333"/>
          <w:kern w:val="0"/>
          <w:sz w:val="24"/>
          <w:szCs w:val="24"/>
          <w:u w:val="none"/>
          <w:bdr w:val="none" w:color="auto" w:sz="0" w:space="0"/>
          <w:lang w:val="en-US" w:eastAsia="zh-CN" w:bidi="ar"/>
        </w:rPr>
        <w:fldChar w:fldCharType="separate"/>
      </w:r>
      <w:r>
        <w:rPr>
          <w:rStyle w:val="5"/>
          <w:rFonts w:ascii="宋体" w:hAnsi="宋体" w:eastAsia="宋体" w:cs="宋体"/>
          <w:color w:val="333333"/>
          <w:sz w:val="24"/>
          <w:szCs w:val="24"/>
          <w:u w:val="none"/>
          <w:bdr w:val="none" w:color="auto" w:sz="0" w:space="0"/>
        </w:rPr>
        <w:t> </w:t>
      </w:r>
      <w:r>
        <w:rPr>
          <w:rFonts w:ascii="宋体" w:hAnsi="宋体" w:eastAsia="宋体" w:cs="宋体"/>
          <w:color w:val="333333"/>
          <w:kern w:val="0"/>
          <w:sz w:val="24"/>
          <w:szCs w:val="24"/>
          <w:u w:val="none"/>
          <w:bdr w:val="none" w:color="auto" w:sz="0" w:space="0"/>
          <w:lang w:val="en-US" w:eastAsia="zh-CN" w:bidi="ar"/>
        </w:rPr>
        <w:fldChar w:fldCharType="end"/>
      </w:r>
      <w:r>
        <w:rPr>
          <w:rFonts w:ascii="宋体" w:hAnsi="宋体" w:eastAsia="宋体" w:cs="宋体"/>
          <w:color w:val="333333"/>
          <w:kern w:val="0"/>
          <w:sz w:val="24"/>
          <w:szCs w:val="24"/>
          <w:u w:val="none"/>
          <w:bdr w:val="none" w:color="auto" w:sz="0" w:space="0"/>
          <w:lang w:val="en-US" w:eastAsia="zh-CN" w:bidi="ar"/>
        </w:rPr>
        <w:fldChar w:fldCharType="begin"/>
      </w:r>
      <w:r>
        <w:rPr>
          <w:rFonts w:ascii="宋体" w:hAnsi="宋体" w:eastAsia="宋体" w:cs="宋体"/>
          <w:color w:val="333333"/>
          <w:kern w:val="0"/>
          <w:sz w:val="24"/>
          <w:szCs w:val="24"/>
          <w:u w:val="none"/>
          <w:bdr w:val="none" w:color="auto" w:sz="0" w:space="0"/>
          <w:lang w:val="en-US" w:eastAsia="zh-CN" w:bidi="ar"/>
        </w:rPr>
        <w:instrText xml:space="preserve"> HYPERLINK "http://www.chinatax.gov.cn/chinatax/n810341/n810755/c5138275/content.html" \o "分享到QQ空间" </w:instrText>
      </w:r>
      <w:r>
        <w:rPr>
          <w:rFonts w:ascii="宋体" w:hAnsi="宋体" w:eastAsia="宋体" w:cs="宋体"/>
          <w:color w:val="333333"/>
          <w:kern w:val="0"/>
          <w:sz w:val="24"/>
          <w:szCs w:val="24"/>
          <w:u w:val="none"/>
          <w:bdr w:val="none" w:color="auto" w:sz="0" w:space="0"/>
          <w:lang w:val="en-US" w:eastAsia="zh-CN" w:bidi="ar"/>
        </w:rPr>
        <w:fldChar w:fldCharType="separate"/>
      </w:r>
      <w:r>
        <w:rPr>
          <w:rStyle w:val="5"/>
          <w:rFonts w:ascii="宋体" w:hAnsi="宋体" w:eastAsia="宋体" w:cs="宋体"/>
          <w:color w:val="333333"/>
          <w:sz w:val="24"/>
          <w:szCs w:val="24"/>
          <w:u w:val="none"/>
          <w:bdr w:val="none" w:color="auto" w:sz="0" w:space="0"/>
        </w:rPr>
        <w:t> </w:t>
      </w:r>
      <w:r>
        <w:rPr>
          <w:rFonts w:ascii="宋体" w:hAnsi="宋体" w:eastAsia="宋体" w:cs="宋体"/>
          <w:color w:val="333333"/>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为深化“放管服”改革，进一步优化税收营商环境，提高非居民纳税人享受协定待遇的便捷性，国家税务总局制定了《非居民纳税人享受协定待遇管理办法》，现予发布，自2020年1月1日起施行。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附件：</w: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begin"/>
      </w:r>
      <w:r>
        <w:rPr>
          <w:rFonts w:hint="eastAsia" w:ascii="微软雅黑" w:hAnsi="微软雅黑" w:eastAsia="微软雅黑" w:cs="微软雅黑"/>
          <w:i w:val="0"/>
          <w:caps w:val="0"/>
          <w:color w:val="0000FF"/>
          <w:spacing w:val="0"/>
          <w:sz w:val="19"/>
          <w:szCs w:val="19"/>
          <w:u w:val="none"/>
          <w:bdr w:val="none" w:color="auto" w:sz="0" w:space="0"/>
          <w:shd w:val="clear" w:fill="FFFFFF"/>
        </w:rPr>
        <w:instrText xml:space="preserve"> HYPERLINK "http://www.chinatax.gov.cn/chinatax/n810341/n810755/c5138275/5138275/files/4885149facbc4d68959ca230f6e22194.xls" \t "http://www.chinatax.gov.cn/chinatax/n810341/n810755/c5138275/_blank" </w:instrTex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separate"/>
      </w:r>
      <w:r>
        <w:rPr>
          <w:rStyle w:val="5"/>
          <w:rFonts w:hint="eastAsia" w:ascii="微软雅黑" w:hAnsi="微软雅黑" w:eastAsia="微软雅黑" w:cs="微软雅黑"/>
          <w:i w:val="0"/>
          <w:caps w:val="0"/>
          <w:color w:val="0000FF"/>
          <w:spacing w:val="0"/>
          <w:sz w:val="19"/>
          <w:szCs w:val="19"/>
          <w:u w:val="none"/>
          <w:bdr w:val="none" w:color="auto" w:sz="0" w:space="0"/>
          <w:shd w:val="clear" w:fill="FFFFFF"/>
        </w:rPr>
        <w:t>非居民纳税人享受协定待遇信息报告表</w: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432" w:lineRule="atLeast"/>
        <w:ind w:left="0" w:right="0" w:firstLine="420"/>
        <w:jc w:val="righ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国家税务总局 </w:t>
      </w:r>
      <w:r>
        <w:rPr>
          <w:rFonts w:hint="eastAsia" w:ascii="微软雅黑" w:hAnsi="微软雅黑" w:eastAsia="微软雅黑" w:cs="微软雅黑"/>
          <w:i w:val="0"/>
          <w:caps w:val="0"/>
          <w:color w:val="333333"/>
          <w:spacing w:val="0"/>
          <w:sz w:val="19"/>
          <w:szCs w:val="19"/>
          <w:bdr w:val="none" w:color="auto" w:sz="0" w:space="0"/>
          <w:shd w:val="clear" w:fill="FFFFFF"/>
        </w:rPr>
        <w:br w:type="textWrapping"/>
      </w:r>
      <w:r>
        <w:rPr>
          <w:rFonts w:hint="eastAsia" w:ascii="微软雅黑" w:hAnsi="微软雅黑" w:eastAsia="微软雅黑" w:cs="微软雅黑"/>
          <w:i w:val="0"/>
          <w:caps w:val="0"/>
          <w:color w:val="333333"/>
          <w:spacing w:val="0"/>
          <w:sz w:val="19"/>
          <w:szCs w:val="19"/>
          <w:bdr w:val="none" w:color="auto" w:sz="0" w:space="0"/>
          <w:shd w:val="clear" w:fill="FFFFFF"/>
        </w:rPr>
        <w:t>2019年10月14日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left"/>
        <w:rPr>
          <w:rFonts w:hint="eastAsia" w:ascii="微软雅黑" w:hAnsi="微软雅黑" w:eastAsia="微软雅黑" w:cs="微软雅黑"/>
          <w:color w:val="333333"/>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非居民纳税人享受协定待遇管理办法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第一条 </w:t>
      </w:r>
      <w:r>
        <w:rPr>
          <w:rFonts w:hint="eastAsia" w:ascii="微软雅黑" w:hAnsi="微软雅黑" w:eastAsia="微软雅黑" w:cs="微软雅黑"/>
          <w:i w:val="0"/>
          <w:caps w:val="0"/>
          <w:color w:val="333333"/>
          <w:spacing w:val="0"/>
          <w:sz w:val="19"/>
          <w:szCs w:val="19"/>
          <w:bdr w:val="none" w:color="auto" w:sz="0" w:space="0"/>
          <w:shd w:val="clear" w:fill="FFFFFF"/>
        </w:rPr>
        <w:t>为执行中华人民共和国政府签署的避免双重征税协定（以下简称“税收协定”）和国际运输协定税收条款，规范非居民纳税人享受协定待遇管理，根据《中华人民共和国企业所得税法》（以下简称“企业所得税法”）及其实施条例、《中华人民共和国个人所得税法》及其实施条例、《中华人民共和国税收征收管理法》（以下简称“税收征管法”）及其实施细则（以下统称“国内税收法律规定”）的有关规定，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第二条 </w:t>
      </w:r>
      <w:r>
        <w:rPr>
          <w:rFonts w:hint="eastAsia" w:ascii="微软雅黑" w:hAnsi="微软雅黑" w:eastAsia="微软雅黑" w:cs="微软雅黑"/>
          <w:i w:val="0"/>
          <w:caps w:val="0"/>
          <w:color w:val="333333"/>
          <w:spacing w:val="0"/>
          <w:sz w:val="19"/>
          <w:szCs w:val="19"/>
          <w:bdr w:val="none" w:color="auto" w:sz="0" w:space="0"/>
          <w:shd w:val="clear" w:fill="FFFFFF"/>
        </w:rPr>
        <w:t>在中国境内发生纳税义务的非居民纳税人需要享受协定待遇的，适用本办法。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第三条 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享受协定待遇，采取“自行判断、申报享受、相关资料留存备查”的方式办理。非居民纳税人自行判断符合享受协定待遇条件的，可在纳税申报时，或通过扣缴义务人在扣缴申报时，自行享受协定待遇，同时按照本办法的规定归集和留存相关资料备查，并接受税务机关后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第四条 </w:t>
      </w:r>
      <w:r>
        <w:rPr>
          <w:rFonts w:hint="eastAsia" w:ascii="微软雅黑" w:hAnsi="微软雅黑" w:eastAsia="微软雅黑" w:cs="微软雅黑"/>
          <w:i w:val="0"/>
          <w:caps w:val="0"/>
          <w:color w:val="333333"/>
          <w:spacing w:val="0"/>
          <w:sz w:val="19"/>
          <w:szCs w:val="19"/>
          <w:bdr w:val="none" w:color="auto" w:sz="0" w:space="0"/>
          <w:shd w:val="clear" w:fill="FFFFFF"/>
        </w:rPr>
        <w:t>本办法所称非居民纳税人，是指按照税收协定居民条款规定应为缔约对方税收居民的纳税人。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本办法所称协定包括税收协定和国际运输协定。国际运输协定包括中华人民共和国政府签署的航空协定、海运协定、道路运输协定、汽车运输协定、互免国际运输收入税收协议或换函以及其他关于国际运输的协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本办法所称协定待遇，是指按照协定可以减轻或者免除按照国内税收法律规定应当履行的企业所得税、个人所得税纳税义务。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本办法所称扣缴义务人，是指按国内税收法律规定，对非居民纳税人来源于中国境内的所得负有扣缴税款义务的单位或个人，包括法定扣缴义务人和企业所得税法规定的指定扣缴义务人。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本办法所称主管税务机关，是指按国内税收法律规定，对非居民纳税人在中国的纳税义务负有征管职责的税务机关。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第二章 协定适用和纳税申报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第五条 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非居民纳税人自行申报的，自行判断符合享受协定待遇条件且需要享受协定待遇，应在申报时报送《非居民纳税人享受协定待遇信息报告表》（见附件），并按照本办法第七条的规定归集和留存相关资料备查。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第六条 </w:t>
      </w:r>
      <w:r>
        <w:rPr>
          <w:rFonts w:hint="eastAsia" w:ascii="微软雅黑" w:hAnsi="微软雅黑" w:eastAsia="微软雅黑" w:cs="微软雅黑"/>
          <w:i w:val="0"/>
          <w:caps w:val="0"/>
          <w:color w:val="333333"/>
          <w:spacing w:val="0"/>
          <w:sz w:val="19"/>
          <w:szCs w:val="19"/>
          <w:bdr w:val="none" w:color="auto" w:sz="0" w:space="0"/>
          <w:shd w:val="clear" w:fill="FFFFFF"/>
        </w:rPr>
        <w:t>在源泉扣缴和指定扣缴情况下，非居民纳税人自行判断符合享受协定待遇条件且需要享受协定待遇的，应当如实填写《非居民纳税人享受协定待遇信息报告表》，主动提交给扣缴义务人，并按照本办法第七条的规定归集和留存相关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扣缴义务人收到《非居民纳税人享受协定待遇信息报告表》后，确认非居民纳税人填报信息完整的，依国内税收法律规定和协定规定扣缴，并如实将《非居民纳税人享受协定待遇信息报告表》作为扣缴申报的附表报送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非居民纳税人未主动提交《非居民纳税人享受协定待遇信息报告表》给扣缴义务人或填报信息不完整的，扣缴义务人依国内税收法律规定扣缴。 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第七条 </w:t>
      </w:r>
      <w:r>
        <w:rPr>
          <w:rFonts w:hint="eastAsia" w:ascii="微软雅黑" w:hAnsi="微软雅黑" w:eastAsia="微软雅黑" w:cs="微软雅黑"/>
          <w:i w:val="0"/>
          <w:caps w:val="0"/>
          <w:color w:val="333333"/>
          <w:spacing w:val="0"/>
          <w:sz w:val="19"/>
          <w:szCs w:val="19"/>
          <w:bdr w:val="none" w:color="auto" w:sz="0" w:space="0"/>
          <w:shd w:val="clear" w:fill="FFFFFF"/>
        </w:rPr>
        <w:t>本办法所称留存备查资料包括：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一）由协定缔约对方税务主管当局开具的证明非居民纳税人取得所得的当年度或上一年度税收居民身份的税收居民身份证明；享受税收协定国际运输条款或国际运输协定待遇的，可用能够证明符合协定规定身份的证明代替税收居民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（二）与取得相关所得有关的合同、协议、董事会或股东会决议、支付凭证等权属证明资料；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（三）享受股息、利息、特许权使用费条款协定待遇的，应留存证明“受益所有人”身份的相关资料；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（四）非居民纳税人认为能够证明其符合享受协定待遇条件的其他资料。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第八条 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非居民纳税人对《非居民纳税人享受协定待遇信息报告表》填报信息和留存备查资料的真实性、准确性、合法性承担法律责任。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第九条 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非居民纳税人发现不应享受而享受了协定待遇，并少缴或未缴税款的，应当主动向主管税务机关申报补税。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非居民纳税人可享受但未享受协定待遇而多缴税款的，可在税收征管法规定期限内自行或通过扣缴义务人向主管税务机关要求退还多缴税款，同时提交本办法第七条规定的资料。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主管税务机关应当自接到非居民纳税人或扣缴义务人退还多缴税款申请之日起30日内查实，对符合享受协定待遇条件的多缴税款办理退还手续。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第十一条 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非居民纳税人享受协定待遇留存备查资料应按照税收征管法及其实施细则规定的期限保存。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第三章 税务机关后续管理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第十二条 </w:t>
      </w:r>
      <w:r>
        <w:rPr>
          <w:rFonts w:hint="eastAsia" w:ascii="微软雅黑" w:hAnsi="微软雅黑" w:eastAsia="微软雅黑" w:cs="微软雅黑"/>
          <w:i w:val="0"/>
          <w:caps w:val="0"/>
          <w:color w:val="333333"/>
          <w:spacing w:val="0"/>
          <w:sz w:val="19"/>
          <w:szCs w:val="19"/>
          <w:bdr w:val="none" w:color="auto" w:sz="0" w:space="0"/>
          <w:shd w:val="clear" w:fill="FFFFFF"/>
        </w:rPr>
        <w:t>各级税务机关应当对非居民纳税人享受协定待遇开展后续管理，准确执行协定，防范协定滥用和逃避税风险。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第十三条 </w:t>
      </w:r>
      <w:r>
        <w:rPr>
          <w:rFonts w:hint="eastAsia" w:ascii="微软雅黑" w:hAnsi="微软雅黑" w:eastAsia="微软雅黑" w:cs="微软雅黑"/>
          <w:i w:val="0"/>
          <w:caps w:val="0"/>
          <w:color w:val="333333"/>
          <w:spacing w:val="0"/>
          <w:sz w:val="19"/>
          <w:szCs w:val="19"/>
          <w:bdr w:val="none" w:color="auto" w:sz="0" w:space="0"/>
          <w:shd w:val="clear" w:fill="FFFFFF"/>
        </w:rPr>
        <w:t>主管税务机关在后续管理时，可要求非居民纳税人限期提供留存备查资料。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主管税务机关在后续管理或税款退还查实工作过程中，发现依据本办法第七条规定的资料不足以证明非居民纳税人符合享受协定待遇条件，或非居民纳税人存在逃避税嫌疑的，可要求非居民纳税人或扣缴义务人限期提供相关资料并配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第十四条 </w:t>
      </w:r>
      <w:r>
        <w:rPr>
          <w:rFonts w:hint="eastAsia" w:ascii="微软雅黑" w:hAnsi="微软雅黑" w:eastAsia="微软雅黑" w:cs="微软雅黑"/>
          <w:i w:val="0"/>
          <w:caps w:val="0"/>
          <w:color w:val="333333"/>
          <w:spacing w:val="0"/>
          <w:sz w:val="19"/>
          <w:szCs w:val="19"/>
          <w:bdr w:val="none" w:color="auto" w:sz="0" w:space="0"/>
          <w:shd w:val="clear" w:fill="FFFFFF"/>
        </w:rPr>
        <w:t>本办法规定的资料原件为外文文本的，按照主管税务机关要求提供时，应当附送中文译本，并对中文译本的准确性和完整性负责。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非居民纳税人、扣缴义务人可以向主管税务机关提供资料复印件，但是应当在复印件上标注原件存放处，加盖报告责任人印章或签章。主管税务机关要求报验原件的，应报验原件。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第十五条 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第十六条 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不符合享受协定待遇条件而享受了协定待遇且未缴或少缴税款的，除因扣缴义务人未按本办法第六条规定扣缴申报外，视为非居民纳税人未按照规定申报缴纳税款，主管税务机关依法追缴税款并追究非居民纳税人延迟纳税责任。在扣缴情况下，税款延迟缴纳期限自扣缴申报享受协定待遇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第十七条 </w:t>
      </w:r>
      <w:r>
        <w:rPr>
          <w:rFonts w:hint="eastAsia" w:ascii="微软雅黑" w:hAnsi="微软雅黑" w:eastAsia="微软雅黑" w:cs="微软雅黑"/>
          <w:i w:val="0"/>
          <w:caps w:val="0"/>
          <w:color w:val="333333"/>
          <w:spacing w:val="0"/>
          <w:sz w:val="19"/>
          <w:szCs w:val="19"/>
          <w:bdr w:val="none" w:color="auto" w:sz="0" w:space="0"/>
          <w:shd w:val="clear" w:fill="FFFFFF"/>
        </w:rPr>
        <w:t>扣缴义务人未按本办法第六条规定扣缴申报，或者未按本办法第十三条规定提供相关资料，发生不符合享受协定待遇条件的非居民纳税人享受协定待遇且未缴或少缴税款情形的，主管税务机关依据有关规定追究扣缴义务人责任，并责令非居民纳税人限期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第十八条 </w:t>
      </w:r>
      <w:r>
        <w:rPr>
          <w:rFonts w:hint="eastAsia" w:ascii="微软雅黑" w:hAnsi="微软雅黑" w:eastAsia="微软雅黑" w:cs="微软雅黑"/>
          <w:i w:val="0"/>
          <w:caps w:val="0"/>
          <w:color w:val="333333"/>
          <w:spacing w:val="0"/>
          <w:sz w:val="19"/>
          <w:szCs w:val="19"/>
          <w:bdr w:val="none" w:color="auto" w:sz="0" w:space="0"/>
          <w:shd w:val="clear" w:fill="FFFFFF"/>
        </w:rPr>
        <w:t>依据企业所得税法第三十九条规定，非居民纳税人未依法缴纳税款的，主管税务机关可以从该非居民纳税人在中国境内其他收入项目的支付人应付的款项中，追缴该非居民纳税人的应纳税款。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第十九条 </w:t>
      </w:r>
      <w:r>
        <w:rPr>
          <w:rFonts w:hint="eastAsia" w:ascii="微软雅黑" w:hAnsi="微软雅黑" w:eastAsia="微软雅黑" w:cs="微软雅黑"/>
          <w:i w:val="0"/>
          <w:caps w:val="0"/>
          <w:color w:val="333333"/>
          <w:spacing w:val="0"/>
          <w:sz w:val="19"/>
          <w:szCs w:val="19"/>
          <w:bdr w:val="none" w:color="auto" w:sz="0" w:space="0"/>
          <w:shd w:val="clear" w:fill="FFFFFF"/>
        </w:rPr>
        <w:t>主管税务机关在后续管理或税款退还查实工作过程中，发现不能准确判定非居民纳税人是否可以享受协定待遇的，应当向上级税务机关报告；需要启动相互协商或情报交换程序的，按有关规定启动相应程序。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第二十条 </w:t>
      </w:r>
      <w:r>
        <w:rPr>
          <w:rFonts w:hint="eastAsia" w:ascii="微软雅黑" w:hAnsi="微软雅黑" w:eastAsia="微软雅黑" w:cs="微软雅黑"/>
          <w:i w:val="0"/>
          <w:caps w:val="0"/>
          <w:color w:val="333333"/>
          <w:spacing w:val="0"/>
          <w:sz w:val="19"/>
          <w:szCs w:val="19"/>
          <w:bdr w:val="none" w:color="auto" w:sz="0" w:space="0"/>
          <w:shd w:val="clear" w:fill="FFFFFF"/>
        </w:rPr>
        <w:t>本办法第十条所述查实时间不包括非居民纳税人或扣缴义务人补充提供资料、个案请示、相互协商、情报交换的时间。税务机关因上述原因延长查实时间的，应书面通知退税申请人相关决定及理由。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第二十一条 </w:t>
      </w:r>
      <w:r>
        <w:rPr>
          <w:rFonts w:hint="eastAsia" w:ascii="微软雅黑" w:hAnsi="微软雅黑" w:eastAsia="微软雅黑" w:cs="微软雅黑"/>
          <w:i w:val="0"/>
          <w:caps w:val="0"/>
          <w:color w:val="333333"/>
          <w:spacing w:val="0"/>
          <w:sz w:val="19"/>
          <w:szCs w:val="19"/>
          <w:bdr w:val="none" w:color="auto" w:sz="0" w:space="0"/>
          <w:shd w:val="clear" w:fill="FFFFFF"/>
        </w:rPr>
        <w:t>主管税务机关在后续管理过程中，发现需要适用税收协定主要目的测试条款或国内税收法律规定中的一般反避税规则的，适用一般反避税相关规定。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第二十二条 </w:t>
      </w:r>
      <w:r>
        <w:rPr>
          <w:rFonts w:hint="eastAsia" w:ascii="微软雅黑" w:hAnsi="微软雅黑" w:eastAsia="微软雅黑" w:cs="微软雅黑"/>
          <w:i w:val="0"/>
          <w:caps w:val="0"/>
          <w:color w:val="333333"/>
          <w:spacing w:val="0"/>
          <w:sz w:val="19"/>
          <w:szCs w:val="19"/>
          <w:bdr w:val="none" w:color="auto" w:sz="0" w:space="0"/>
          <w:shd w:val="clear" w:fill="FFFFFF"/>
        </w:rPr>
        <w:t>主管税务机关应当对非居民纳税人不当享受协定待遇情况建立信用档案，并采取相应后续管理措施。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center"/>
        <w:rPr>
          <w:rFonts w:hint="eastAsia" w:ascii="微软雅黑" w:hAnsi="微软雅黑" w:eastAsia="微软雅黑" w:cs="微软雅黑"/>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第二十三条 </w:t>
      </w:r>
      <w:r>
        <w:rPr>
          <w:rFonts w:hint="eastAsia" w:ascii="微软雅黑" w:hAnsi="微软雅黑" w:eastAsia="微软雅黑" w:cs="微软雅黑"/>
          <w:i w:val="0"/>
          <w:caps w:val="0"/>
          <w:color w:val="333333"/>
          <w:spacing w:val="0"/>
          <w:sz w:val="19"/>
          <w:szCs w:val="19"/>
          <w:bdr w:val="none" w:color="auto" w:sz="0" w:space="0"/>
          <w:shd w:val="clear" w:fill="FFFFFF"/>
        </w:rPr>
        <w:t>协定与本办法规定不同的，按协定执行。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第二十四条 </w:t>
      </w:r>
      <w:r>
        <w:rPr>
          <w:rFonts w:hint="eastAsia" w:ascii="微软雅黑" w:hAnsi="微软雅黑" w:eastAsia="微软雅黑" w:cs="微软雅黑"/>
          <w:i w:val="0"/>
          <w:caps w:val="0"/>
          <w:color w:val="333333"/>
          <w:spacing w:val="0"/>
          <w:sz w:val="19"/>
          <w:szCs w:val="19"/>
          <w:bdr w:val="none" w:color="auto" w:sz="0" w:space="0"/>
          <w:shd w:val="clear" w:fill="FFFFFF"/>
        </w:rPr>
        <w:t>非居民纳税人需要享受内地与香港、澳门特别行政区签署的避免双重征税安排待遇的，按照本公告执行。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b/>
          <w:i w:val="0"/>
          <w:caps w:val="0"/>
          <w:color w:val="333333"/>
          <w:spacing w:val="0"/>
          <w:sz w:val="19"/>
          <w:szCs w:val="19"/>
          <w:bdr w:val="none" w:color="auto" w:sz="0" w:space="0"/>
          <w:shd w:val="clear" w:fill="FFFFFF"/>
        </w:rPr>
        <w:t>第二十五条 </w:t>
      </w:r>
      <w:r>
        <w:rPr>
          <w:rFonts w:hint="eastAsia" w:ascii="微软雅黑" w:hAnsi="微软雅黑" w:eastAsia="微软雅黑" w:cs="微软雅黑"/>
          <w:i w:val="0"/>
          <w:caps w:val="0"/>
          <w:color w:val="333333"/>
          <w:spacing w:val="0"/>
          <w:sz w:val="19"/>
          <w:szCs w:val="19"/>
          <w:bdr w:val="none" w:color="auto" w:sz="0" w:space="0"/>
          <w:shd w:val="clear" w:fill="FFFFFF"/>
        </w:rPr>
        <w:t>本办法自2020年1月1日起施行。《非居民纳税人享受税收协定待遇管理办法》（国家税务总局公告2015年第60号发布，国家税务总局公告2018年第31号修改）同时废止。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链接：</w: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begin"/>
      </w:r>
      <w:r>
        <w:rPr>
          <w:rFonts w:hint="eastAsia" w:ascii="微软雅黑" w:hAnsi="微软雅黑" w:eastAsia="微软雅黑" w:cs="微软雅黑"/>
          <w:i w:val="0"/>
          <w:caps w:val="0"/>
          <w:color w:val="0000FF"/>
          <w:spacing w:val="0"/>
          <w:sz w:val="19"/>
          <w:szCs w:val="19"/>
          <w:u w:val="none"/>
          <w:bdr w:val="none" w:color="auto" w:sz="0" w:space="0"/>
          <w:shd w:val="clear" w:fill="FFFFFF"/>
        </w:rPr>
        <w:instrText xml:space="preserve"> HYPERLINK "http://www.chinatax.gov.cn/chinatax/n810341/n810760/c5138273/content.html" \t "http://www.chinatax.gov.cn/chinatax/n810341/n810755/c5138275/_blank" </w:instrTex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separate"/>
      </w:r>
      <w:r>
        <w:rPr>
          <w:rStyle w:val="5"/>
          <w:rFonts w:hint="eastAsia" w:ascii="微软雅黑" w:hAnsi="微软雅黑" w:eastAsia="微软雅黑" w:cs="微软雅黑"/>
          <w:i w:val="0"/>
          <w:caps w:val="0"/>
          <w:color w:val="0000FF"/>
          <w:spacing w:val="0"/>
          <w:sz w:val="19"/>
          <w:szCs w:val="19"/>
          <w:u w:val="none"/>
          <w:bdr w:val="none" w:color="auto" w:sz="0" w:space="0"/>
          <w:shd w:val="clear" w:fill="FFFFFF"/>
        </w:rPr>
        <w:t>相关政策解读</w:t>
      </w:r>
      <w:r>
        <w:rPr>
          <w:rFonts w:hint="eastAsia" w:ascii="微软雅黑" w:hAnsi="微软雅黑" w:eastAsia="微软雅黑" w:cs="微软雅黑"/>
          <w:i w:val="0"/>
          <w:caps w:val="0"/>
          <w:color w:val="0000FF"/>
          <w:spacing w:val="0"/>
          <w:sz w:val="19"/>
          <w:szCs w:val="19"/>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eastAsia" w:ascii="微软雅黑" w:hAnsi="微软雅黑" w:eastAsia="微软雅黑" w:cs="微软雅黑"/>
          <w:i w:val="0"/>
          <w:caps w:val="0"/>
          <w:color w:val="333333"/>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A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2019-11-21T03:07:26Z</dcterms:created>
  <dc:creator>黄振宇</dc:creator>
  <cp:lastModifiedBy>黄振宇</cp:lastModifiedBy>
  <dcterms:modified xsi:type="dcterms:W3CDTF">2019-11-21T03:07:52Z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