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ascii="Arial" w:hAnsi="Arial" w:cs="Arial"/>
          <w:i w:val="0"/>
          <w:caps w:val="0"/>
          <w:color w:val="000000"/>
          <w:spacing w:val="0"/>
          <w:sz w:val="21"/>
          <w:szCs w:val="21"/>
        </w:rPr>
      </w:pPr>
      <w:bookmarkStart w:id="0" w:name="_GoBack"/>
      <w:r>
        <w:rPr>
          <w:rFonts w:ascii="Arial" w:hAnsi="Arial" w:eastAsia="宋体" w:cs="Arial"/>
          <w:b/>
          <w:i w:val="0"/>
          <w:caps w:val="0"/>
          <w:color w:val="333333"/>
          <w:spacing w:val="0"/>
          <w:kern w:val="0"/>
          <w:sz w:val="30"/>
          <w:szCs w:val="30"/>
          <w:lang w:val="en-US" w:eastAsia="zh-CN" w:bidi="ar"/>
        </w:rPr>
        <w:t>中华人民共和国职业病防治法(2018</w:t>
      </w:r>
      <w:r>
        <w:rPr>
          <w:rFonts w:hint="eastAsia" w:ascii="Arial" w:hAnsi="Arial" w:eastAsia="宋体" w:cs="Arial"/>
          <w:b/>
          <w:i w:val="0"/>
          <w:caps w:val="0"/>
          <w:color w:val="333333"/>
          <w:spacing w:val="0"/>
          <w:kern w:val="0"/>
          <w:sz w:val="30"/>
          <w:szCs w:val="30"/>
          <w:lang w:val="en-US" w:eastAsia="zh-CN" w:bidi="ar"/>
        </w:rPr>
        <w:t>年</w:t>
      </w:r>
      <w:r>
        <w:rPr>
          <w:rFonts w:ascii="Arial" w:hAnsi="Arial" w:eastAsia="宋体" w:cs="Arial"/>
          <w:b/>
          <w:i w:val="0"/>
          <w:caps w:val="0"/>
          <w:color w:val="333333"/>
          <w:spacing w:val="0"/>
          <w:kern w:val="0"/>
          <w:sz w:val="30"/>
          <w:szCs w:val="30"/>
          <w:lang w:val="en-US" w:eastAsia="zh-CN" w:bidi="ar"/>
        </w:rPr>
        <w:t>修正)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发文字号</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中华人民共和国主席令第二十四号</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时效性</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现行有效</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发布日期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2018-12-29</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实施日期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2018-12-29</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r>
        <w:rPr>
          <w:rFonts w:hint="default" w:ascii="Arial" w:hAnsi="Arial" w:eastAsia="宋体" w:cs="Arial"/>
          <w:i w:val="0"/>
          <w:caps w:val="0"/>
          <w:color w:val="000000"/>
          <w:spacing w:val="0"/>
          <w:kern w:val="0"/>
          <w:sz w:val="21"/>
          <w:szCs w:val="21"/>
          <w:bdr w:val="none" w:color="auto" w:sz="0" w:space="0"/>
          <w:lang w:val="en-US" w:eastAsia="zh-CN" w:bidi="ar"/>
        </w:rPr>
        <w:t>发布机关</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全国人大常委会</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2001年10月27日第九届全国人民代表大会常务委员会第二十四次会议通过</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根据2011年12月31日第十一届全国人民代表大会常务委员会第二十四次会议《关于修改〈中华人民共和国职业病防治法〉的决定》第一次修正</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根据2016年7月2日第十二届全国人民代表大会常务委员会第二十一次会议《关于修改〈中华人民共和国节约能源法〉等六部法律的决定》第二次修正</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根据2017年11月4日第十二届全国人民代表大会常务委员会第三十次会议《关于修改〈中华人民共和国会计法〉等十一部法律的决定》第三次修正</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根据2018年12月29日第十三届全国人民代表大会常务委员会第七次会议《关于修改〈中华人民共和国劳动法〉等七部法律的决定》第四次修正</w:t>
      </w:r>
    </w:p>
    <w:p>
      <w:pPr>
        <w:keepNext w:val="0"/>
        <w:keepLines w:val="0"/>
        <w:widowControl/>
        <w:suppressLineNumbers w:val="0"/>
        <w:spacing w:before="450" w:beforeAutospacing="0" w:line="390" w:lineRule="atLeast"/>
        <w:ind w:left="0" w:firstLine="0"/>
        <w:jc w:val="center"/>
        <w:rPr>
          <w:rFonts w:hint="default" w:ascii="Arial" w:hAnsi="Arial" w:cs="Arial"/>
          <w:i w:val="0"/>
          <w:caps w:val="0"/>
          <w:color w:val="000000"/>
          <w:spacing w:val="0"/>
          <w:sz w:val="24"/>
          <w:szCs w:val="24"/>
        </w:rPr>
      </w:pPr>
      <w:r>
        <w:rPr>
          <w:rFonts w:hint="default" w:ascii="Arial" w:hAnsi="Arial" w:eastAsia="宋体" w:cs="Arial"/>
          <w:i w:val="0"/>
          <w:caps w:val="0"/>
          <w:color w:val="000000"/>
          <w:spacing w:val="0"/>
          <w:kern w:val="0"/>
          <w:sz w:val="24"/>
          <w:szCs w:val="24"/>
          <w:lang w:val="en-US" w:eastAsia="zh-CN" w:bidi="ar"/>
        </w:rPr>
        <w:t>正文</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为了预防、控制和消除职业病危害，防治职业病，保护劳动者健康及其相关权益，促进经济社会发展，根据宪法，制定本法。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本法适用于中华人民共和国领域内的职业病防治活动。 本法所称职业病，是指企业、事业单位和个体经济组织等用人单位的劳动者在职业活动中，因接触粉尘、放射性物质和其他有毒、有害因素而引起的疾病。 职业病的分类和目录由国务院卫生行政部门会同国务院劳动保障行政部门制定、调整并公布。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职业病防治工作坚持预防为主、防治结合的方针，建立用人单位负责、行政机关监管、行业自律、职工参与和社会监督的机制，实行分类管理、综合治理。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劳动者依法享有职业卫生保护的权利。 用人单位应当为劳动者创造符合国家职业卫生标准和卫生要求的工作环境和条件，并采取措施保障劳动者获得职业卫生保护。 工会组织依法对职业病防治工作进行监督，维护劳动者的合法权益。用人单位制定或者修改有关职业病防治的规章制度，应当听取工会组织的意见。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用人单位应当建立、健全职业病防治责任制，加强对职业病防治的管理，提高职业病防治水平，对本单位产生的职业病危害承担责任。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用人单位的主要负责人对本单位的职业病防治工作全面负责。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用人单位必须依法参加工伤保险。 国务院和县级以上地方人民政府劳动保障行政部门应当加强对工伤保险的监督管理，确保劳动者依法享受工伤保险待遇。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 国家鼓励和支持职业病医疗康复机构的建设。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国家实行职业卫生监督制度。 国务院卫生行政部门、劳动保障行政部门依照本法和国务院确定的职责，负责全国职业病防治的监督管理工作。国务院有关部门在各自的职责范围内负责职业病防治的有关监督管理工作。 县级以上地方人民政府卫生行政部门、劳动保障行政部门依据各自职责，负责本行政区域内职业病防治的监督管理工作。县级以上地方人民政府有关部门在各自的职责范围内负责职业病防治的有关监督管理工作。 县级以上人民政府卫生行政部门、劳动保障行政部门（以下统称职业卫生监督管理部门）应当加强沟通，密切配合，按照各自职责分工，依法行使职权，承担责任。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国务院和县级以上地方人民政府应当制定职业病防治规划，将其纳入国民经济和社会发展计划，并组织实施。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 乡、民族乡、镇的人民政府应当认真执行本法，支持职业卫生监督管理部门依法履行职责。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有关防治职业病的国家职业卫生标准，由国务院卫生行政部门组织制定并公布。 国务院卫生行政部门应当组织开展重点职业病监测和专项调查，对职业健康风险进行评估，为制定职业卫生标准和职业病防治政策提供科学依据。 县级以上地方人民政府卫生行政部门应当定期对本行政区域的职业病防治情况进行统计和调查分析。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任何单位和个人有权对违反本法的行为进行检举和控告。有关部门收到相关的检举和控告后，应当及时处理。 对防治职业病成绩显著的单位和个人，给予奖励。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第二章　前期预防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用人单位应当依照法律、法规要求，严格遵守国家职业卫生标准，落实职业病预防措施，从源头上控制和消除职业病危害。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产生职业病危害的用人单位的设立除应当符合法律、行政法规规定的设立条件外，其工作场所还应当符合下列职业卫生要求： （一）职业病危害因素的强度或者浓度符合国家职业卫生标准； （二）有与职业病危害防护相适应的设施； （三）生产布局合理，符合有害与无害作业分开的原则； （四）有配套的更衣间、洗浴间、孕妇休息间等卫生设施； （五）设备、工具、用具等设施符合保护劳动者生理、心理健康的要求； （六）法律、行政法规和国务院卫生行政部门关于保护劳动者健康的其他要求。</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国家建立职业病危害项目申报制度。 用人单位工作场所存在职业病目录所列职业病的危害因素的，应当及时、如实向所在地卫生行政部门申报危害项目，接受监督。 职业病危害因素分类目录由国务院卫生行政部门制定、调整并公布。职业病危害项目申报的具体办法由国务院卫生行政部门制定。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新建、扩建、改建建设项目和技术改造、技术引进项目（以下统称建设项目）可能产生职业病危害的，建设单位在可行性论证阶段应当进行职业病危害预评价。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 职业病危害预评价报告应当对建设项目可能产生的职业病危害因素及其对工作场所和劳动者健康的影响作出评价，确定危害类别和职业病防护措施。建设项目职业病危害分类管理办法由国务院卫生行政部门制定。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建设项目的职业病防护设施所需费用应当纳入建设项目工程预算，并与主体工程同时设计，同时施工，同时投入生产和使用。 建设项目的职业病防护设施设计应当符合国家职业卫生标准和卫生要求；其中，医疗机构放射性职业病危害严重的建设项目的防护设施设计，应当经卫生行政部门审查同意后，方可施工。 建设项目在竣工验收前，建设单位应当进行职业病危害控制效果评价。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国家对从事放射性、高毒、高危粉尘等作业实行特殊管理。具体管理办法由国务院制定。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第三章　劳动过程中的防护与管理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用人单位应当采取下列职业病防治管理措施： （一）设置或者指定职业卫生管理机构或者组织，配备专职或者兼职的职业卫生管理人员，负责本单位的职业病防治工作； （二）制定职业病防治计划和实施方案； （三）建立、健全职业卫生管理制度和操作规程； （四）建立、健全职业卫生档案和劳动者健康监护档案； （五）建立、健全工作场所职业病危害因素监测及评价制度； （六）建立、健全职业病危害事故应急救援预案。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用人单位应当保障职业病防治所需的资金投入，不得挤占、挪用，并对因资金投入不足导致的后果承担责任。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用人单位必须采用有效的职业病防护设施，并为劳动者提供个人使用的职业病防护用品。 用人单位为劳动者个人提供的职业病防护用品必须符合防治职业病的要求；不符合要求的，不得使用。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用人单位应当优先采用有利于防治职业病和保护劳动者健康的新技术、新工艺、新设备、新材料，逐步替代职业病危害严重的技术、工艺、设备、材料。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产生职业病危害的用人单位，应当在醒目位置设置公告栏，公布有关职业病防治的规章制度、操作规程、职业病危害事故应急救援措施和工作场所职业病危害因素检测结果。 对产生严重职业病危害的作业岗位，应当在其醒目位置，设置警示标识和中文警示说明。警示说明应当载明产生职业病危害的种类、后果、预防以及应急救治措施等内容。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对可能发生急性职业损伤的有毒、有害工作场所，用人单位应当设置报警装置，配置现场急救用品、冲洗设备、应急撤离通道和必要的泄险区。 对放射工作场所和放射性同位素的运输、贮存，用人单位必须配置防护设备和报警装置，保证接触放射线的工作人员佩戴个人剂量计。 对职业病防护设备、应急救援设施和个人使用的职业病防护用品，用人单位应当进行经常性的维护、检修，定期检测其性能和效果，确保其处于正常状态，不得擅自拆除或者停止使用。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用人单位应当实施由专人负责的职业病危害因素日常监测，并确保监测系统处于正常运行状态。 用人单位应当按照国务院卫生行政部门的规定，定期对工作场所进行职业病危害因素检测、评价。检测、评价结果存入用人单位职业卫生档案，定期向所在地卫生行政部门报告并向劳动者公布。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职业卫生技术服务机构依法从事职业病危害因素检测、评价工作，接受卫生行政部门的监督检查。卫生行政部门应当依法履行监督职责。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 进口放射性同位素、射线装置和含有放射性物质的物品的，按照国家有关规定办理。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任何单位和个人不得生产、经营、进口和使用国家明令禁止使用的可能产生职业病危害的设备或者材料。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任何单位和个人不得将产生职业病危害的作业转移给不具备职业病防护条件的单位和个人。不具备职业病防护条件的单位和个人不得接受产生职业病危害的作业。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用人单位对采用的技术、工艺、设备、材料，应当知悉其产生的职业病危害，对有职业病危害的技术、工艺、设备、材料隐瞒其危害而采用的，对所造成的职业病危害后果承担责任。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用人单位与劳动者订立劳动合同（含聘用合同，下同）时，应当将工作过程中可能产生的职业病危害及其后果、职业病防护措施和待遇等如实告知劳动者，并在劳动合同中写明，不得隐瞒或者欺骗。 劳动者在已订立劳动合同期间因工作岗位或者工作内容变更，从事与所订立劳动合同中未告知的存在职业病危害的作业时，用人单位应当依照前款规定，向劳动者履行如实告知的义务，并协商变更原劳动合同相关条款。 用人单位违反前两款规定的，劳动者有权拒绝从事存在职业病危害的作业，用人单位不得因此解除与劳动者所订立的劳动合同。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用人单位的主要负责人和职业卫生管理人员应当接受职业卫生培训，遵守职业病防治法律、法规，依法组织本单位的职业病防治工作。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 劳动者应当学习和掌握相关的职业卫生知识，增强职业病防范意识，遵守职业病防治法律、法规、规章和操作规程，正确使用、维护职业病防护设备和个人使用的职业病防护用品，发现职业病危害事故隐患应当及时报告。 劳动者不履行前款规定义务的，用人单位应当对其进行教育。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对从事接触职业病危害的作业的劳动者，用人单位应当按照国务院卫生行政部门的规定组织上岗前、在岗期间和离岗时的职业健康检查，并将检查结果书面告知劳动者。职业健康检查费用由用人单位承担。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 职业健康检查应当由取得《医疗机构执业许可证》的医疗卫生机构承担。卫生行政部门应当加强对职业健康检查工作的规范管理，具体管理办法由国务院卫生行政部门制定。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用人单位应当为劳动者建立职业健康监护档案，并按照规定的期限妥善保存。 职业健康监护档案应当包括劳动者的职业史、职业病危害接触史、职业健康检查结果和职业病诊疗等有关个人健康资料。 劳动者离开用人单位时，有权索取本人职业健康监护档案复印件，用人单位应当如实、无偿提供，并在所提供的复印件上签章。</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 对遭受或者可能遭受急性职业病危害的劳动者，用人单位应当及时组织救治、进行健康检查和医学观察，所需费用由用人单位承担。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用人单位不得安排未成年工从事接触职业病危害的作业；不得安排孕期、哺乳期的女职工从事对本人和胎儿、婴儿有危害的作业。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劳动者享有下列职业卫生保护权利： （一）获得职业卫生教育、培训； （二）获得职业健康检查、职业病诊疗、康复等职业病防治服务； （三）了解工作场所产生或者可能产生的职业病危害因素、危害后果和应当采取的职业病防护措施； （四）要求用人单位提供符合防治职业病要求的职业病防护设施和个人使用的职业病防护用品，改善工作条件； （五）对违反职业病防治法律、法规以及危及生命健康的行为提出批评、检举和控告； （六）拒绝违章指挥和强令进行没有职业病防护措施的作业； （七）参与用人单位职业卫生工作的民主管理，对职业病防治工作提出意见和建议。 用人单位应当保障劳动者行使前款所列权利。因劳动者依法行使正当权利而降低其工资、福利等待遇或者解除、终止与其订立的劳动合同的，其行为无效。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用人单位按照职业病防治要求，用于预防和治理职业病危害、工作场所卫生检测、健康监护和职业卫生培训等费用，按照国家有关规定，在生产成本中据实列支。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职业卫生监督管理部门应当按照职责分工，加强对用人单位落实职业病防护管理措施情况的监督检查，依法行使职权，承担责任。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第四章　职业病诊断与职业病病人保障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职业病诊断应当由取得《医疗机构执业许可证》的医疗卫生机构承担。卫生行政部门应当加强对职业病诊断工作的规范管理，具体管理办法由国务院卫生行政部门制定。 承担职业病诊断的医疗卫生机构还应当具备下列条件： （一）具有与开展职业病诊断相适应的医疗卫生技术人员； （二）具有与开展职业病诊断相适应的仪器、设备； （三）具有健全的职业病诊断质量管理制度。 承担职业病诊断的医疗卫生机构不得拒绝劳动者进行职业病诊断的要求。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劳动者可以在用人单位所在地、本人户籍所在地或者经常居住地依法承担职业病诊断的医疗卫生机构进行职业病诊断。</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职业病诊断标准和职业病诊断、鉴定办法由国务院卫生行政部门制定。职业病伤残等级的鉴定办法由国务院劳动保障行政部门会同国务院卫生行政部门制定。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职业病诊断，应当综合分析下列因素： （一）病人的职业史； （二）职业病危害接触史和工作场所职业病危害因素情况； （三）临床表现以及辅助检查结果等。 没有证据否定职业病危害因素与病人临床表现之间的必然联系的，应当诊断为职业病。 职业病诊断证明书应当由参与诊断的取得职业病诊断资格的执业医师签署，并经承担职业病诊断的医疗卫生机构审核盖章。</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 职业病诊断、鉴定机构需要了解工作场所职业病危害因素情况时，可以对工作场所进行现场调查，也可以向卫生行政部门提出，卫生行政部门应当在十日内组织现场调查。用人单位不得拒绝、阻挠。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 劳动者对仲裁裁决不服的，可以依法向人民法院提起诉讼。 用人单位对仲裁裁决不服的，可以在职业病诊断、鉴定程序结束之日起十五日内依法向人民法院提起诉讼；诉讼期间，劳动者的治疗费用按照职业病待遇规定的途径支付。</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用人单位和医疗卫生机构发现职业病病人或者疑似职业病病人时，应当及时向所在地卫生行政部门报告。确诊为职业病的，用人单位还应当向所在地劳动保障行政部门报告。接到报告的部门应当依法作出处理。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县级以上地方人民政府卫生行政部门负责本行政区域内的职业病统计报告的管理工作，并按照规定上报。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当事人对职业病诊断有异议的，可以向作出诊断的医疗卫生机构所在地地方人民政府卫生行政部门申请鉴定。 职业病诊断争议由设区的市级以上地方人民政府卫生行政部门根据当事人的申请，组织职业病诊断鉴定委员会进行鉴定。 当事人对设区的市级职业病诊断鉴定委员会的鉴定结论不服的，可以向省、自治区、直辖市人民政府卫生行政部门申请再鉴定。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职业病诊断鉴定委员会由相关专业的专家组成。 省、自治区、直辖市人民政府卫生行政部门应当设立相关的专家库，需要对职业病争议作出诊断鉴定时，由当事人或者当事人委托有关卫生行政部门从专家库中以随机抽取的方式确定参加诊断鉴定委员会的专家。 职业病诊断鉴定委员会应当按照国务院卫生行政部门颁布的职业病诊断标准和职业病诊断、鉴定办法进行职业病诊断鉴定，向当事人出具职业病诊断鉴定书。职业病诊断、鉴定费用由用人单位承担。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 人民法院受理有关案件需要进行职业病鉴定时，应当从省、自治区、直辖市人民政府卫生行政部门依法设立的相关的专家库中选取参加鉴定的专家。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医疗卫生机构发现疑似职业病病人时，应当告知劳动者本人并及时通知用人单位。 用人单位应当及时安排对疑似职业病病人进行诊断；在疑似职业病病人诊断或者医学观察期间，不得解除或者终止与其订立的劳动合同。 疑似职业病病人在诊断、医学观察期间的费用，由用人单位承担。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用人单位应当保障职业病病人依法享受国家规定的职业病待遇。 用人单位应当按照国家有关规定，安排职业病病人进行治疗、康复和定期检查。 用人单位对不适宜继续从事原工作的职业病病人，应当调离原岗位，并妥善安置。 用人单位对从事接触职业病危害的作业的劳动者，应当给予适当岗位津贴。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职业病病人的诊疗、康复费用，伤残以及丧失劳动能力的职业病病人的社会保障，按照国家有关工伤保险的规定执行。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职业病病人除依法享有工伤保险外，依照有关民事法律，尚有获得赔偿的权利的，有权向用人单位提出赔偿要求。</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劳动者被诊断患有职业病，但用人单位没有依法参加工伤保险的，其医疗和生活保障由该用人单位承担。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职业病病人变动工作单位，其依法享有的待遇不变。 用人单位在发生分立、合并、解散、破产等情形时，应当对从事接触职业病危害的作业的劳动者进行健康检查，并按照国家有关规定妥善安置职业病病人。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用人单位已经不存在或者无法确认劳动关系的职业病病人，可以向地方人民政府医疗保障、民政部门申请医疗救助和生活等方面的救助。 地方各级人民政府应当根据本地区的实际情况，采取其他措施，使前款规定的职业病病人获得医疗救治。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第五章　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县级以上人民政府职业卫生监督管理部门依照职业病防治法律、法规、国家职业卫生标准和卫生要求，依据职责划分，对职业病防治工作进行监督检查。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卫生行政部门履行监督检查职责时，有权采取下列措施： （一）进入被检查单位和职业病危害现场，了解情况，调查取证； （二）查阅或者复制与违反职业病防治法律、法规的行为有关的资料和采集样品； （三）责令违反职业病防治法律、法规的单位和个人停止违法行为。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发生职业病危害事故或者有证据证明危害状态可能导致职业病危害事故发生时，卫生行政部门可以采取下列临时控制措施： （一）责令暂停导致职业病危害事故的作业； （二）封存造成职业病危害事故或者可能导致职业病危害事故发生的材料和设备； （三）组织控制职业病危害事故现场。 在职业病危害事故或者危害状态得到有效控制后，卫生行政部门应当及时解除控制措施。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职业卫生监督执法人员依法执行职务时，应当出示监督执法证件。 职业卫生监督执法人员应当忠于职守，秉公执法，严格遵守执法规范；涉及用人单位的秘密的，应当为其保密。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职业卫生监督执法人员依法执行职务时，被检查单位应当接受检查并予以支持配合，不得拒绝和阻碍。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卫生行政部门及其职业卫生监督执法人员履行职责时，不得有下列行为： （一）对不符合法定条件的，发给建设项目有关证明文件、资质证明文件或者予以批准； （二）对已经取得有关证明文件的，不履行监督检查职责； （三）发现用人单位存在职业病危害的，可能造成职业病危害事故，不及时依法采取控制措施； （四）其他违反本法的行为。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职业卫生监督执法人员应当依法经过资格认定。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 （一）未按照规定进行职业病危害预评价的； （二）医疗机构可能产生放射性职业病危害的建设项目未按照规定提交放射性职业病危害预评价报告，或者放射性职业病危害预评价报告未经卫生行政部门审核同意，开工建设的； （三）建设项目的职业病防护设施未按照规定与主体工程同时设计、同时施工、同时投入生产和使用的； （四）建设项目的职业病防护设施设计不符合国家职业卫生标准和卫生要求，或者医疗机构放射性职业病危害严重的建设项目的防护设施设计未经卫生行政部门审查同意擅自施工的； （五）未按照规定对职业病防护设施进行职业病危害控制效果评价的； （六）建设项目竣工投入生产和使用前，职业病防护设施未按照规定验收合格的。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违反本法规定，有下列行为之一的，由卫生行政部门给予警告，责令限期改正；逾期不改正的，处十万元以下的罚款： （一）工作场所职业病危害因素检测、评价结果没有存档、上报、公布的； （二）未采取本法第二十条规定的职业病防治管理措施的； （三）未按照规定公布有关职业病防治的规章制度、操作规程、职业病危害事故应急救援措施的； （四）未按照规定组织劳动者进行职业卫生培训，或者未对劳动者个人职业病防护采取指导、督促措施的； （五）国内首次使用或者首次进口与职业病危害有关的化学材料，未按照规定报送毒性鉴定资料以及经有关部门登记注册或者批准进口的文件的。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用人单位违反本法规定，有下列行为之一的，由卫生行政部门责令限期改正，给予警告，可以并处五万元以上十万元以下的罚款： （一）未按照规定及时、如实向卫生行政部门申报产生职业病危害的项目的； （二）未实施由专人负责的职业病危害因素日常监测，或者监测系统不能正常监测的； （三）订立或者变更劳动合同时，未告知劳动者职业病危害真实情况的； （四）未按照规定组织职业健康检查、建立职业健康监护档案或者未将检查结果书面告知劳动者的； （五）未依照本法规定在劳动者离开用人单位时提供职业健康监护档案复印件的。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 （一）工作场所职业病危害因素的强度或者浓度超过国家职业卫生标准的； （二）未提供职业病防护设施和个人使用的职业病防护用品，或者提供的职业病防护设施和个人使用的职业病防护用品不符合国家职业卫生标准和卫生要求的； （三）对职业病防护设备、应急救援设施和个人使用的职业病防护用品未按照规定进行维护、检修、检测，或者不能保持正常运行、使用状态的； （四）未按照规定对工作场所职业病危害因素进行检测、评价的； （五）工作场所职业病危害因素经治理仍然达不到国家职业卫生标准和卫生要求时，未停止存在职业病危害因素的作业的； （六）未按照规定安排职业病病人、疑似职业病病人进行诊治的； （七）发生或者可能发生急性职业病危害事故时，未立即采取应急救援和控制措施或者未按照规定及时报告的； （八）未按照规定在产生严重职业病危害的作业岗位醒目位置设置警示标识和中文警示说明的； （九）拒绝职业卫生监督管理部门监督检查的； （十）隐瞒、伪造、篡改、毁损职业健康监护档案、工作场所职业病危害因素检测评价结果等相关资料，或者拒不提供职业病诊断、鉴定所需资料的； （十一）未按照规定承担职业病诊断、鉴定费用和职业病病人的医疗、生活保障费用的。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向用人单位提供可能产生职业病危害的设备、材料，未按照规定提供中文说明书或者设置警示标识和中文警示说明的，由卫生行政部门责令限期改正，给予警告，并处五万元以上二十万元以下的罚款。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 （一）隐瞒技术、工艺、设备、材料所产生的职业病危害而采用的； （二）隐瞒本单位职业卫生真实情况的； （三）可能发生急性职业损伤的有毒、有害工作场所、放射工作场所或者放射性同位素的运输、贮存不符合本法第二十五条规定的； （四）使用国家明令禁止使用的可能产生职业病危害的设备或者材料的； （五）将产生职业病危害的作业转移给没有职业病防护条件的单位和个人，或者没有职业病防护条件的单位和个人接受产生职业病危害的作业的； （六）擅自拆除、停止使用职业病防护设备或者应急救援设施的； （七）安排未经职业健康检查的劳动者、有职业禁忌的劳动者、未成年工或者孕期、哺乳期女职工从事接触职业病危害的作业或者禁忌作业的； （八）违章指挥和强令劳动者进行没有职业病防护措施的作业的。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生产、经营或者进口国家明令禁止使用的可能产生职业病危害的设备或者材料的，依照有关法律、行政法规的规定给予处罚。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用人单位违反本法规定，造成重大职业病危害事故或者其他严重后果，构成犯罪的，对直接负责的主管人员和其他直接责任人员，依法追究刑事责任。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 （一）超出资质认可或者诊疗项目登记范围从事职业卫生技术服务或者职业病诊断的； （二）不按照本法规定履行法定职责的； （三）出具虚假证明文件的。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县级以上地方人民政府在职业病防治工作中未依照本法履行职责，本行政区域出现重大职业病危害事故、造成严重社会影响的，依法对直接负责的主管人员和其他直接责任人员给予记大过直至开除的处分。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本法下列用语的含义： 职业病危害，是指对从事职业活动的劳动者可能导致职业病的各种危害。职业病危害因素包括：职业活动中存在的各种有害的化学、物理、生物因素以及在作业过程中产生的其他职业有害因素。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本法第二条规定的用人单位以外的单位，产生职业病危害的，其职业病防治活动可以参照本法执行。 劳务派遣用工单位应当履行本法规定的用人单位的义务。 中国人民解放军参照执行本法的办法，由国务院、中央军事委员会制定。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对医疗机构放射性职业病危害控制的监督管理，由卫生行政部门依照本法的规定实施。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本法自2002年5月1日起施行。</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9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2019-10-11T08:01:33Z</dcterms:created>
  <dc:creator>Administrator.SC-201909022357</dc:creator>
  <cp:lastModifiedBy>黄振宇</cp:lastModifiedBy>
  <dcterms:modified xsi:type="dcterms:W3CDTF">2019-10-11T08:02:21Z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